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70" w:rsidRP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FE1A70">
        <w:rPr>
          <w:rFonts w:ascii="Arial" w:hAnsi="Arial" w:cs="Arial"/>
          <w:color w:val="000000"/>
          <w:sz w:val="28"/>
          <w:szCs w:val="28"/>
        </w:rPr>
        <w:t xml:space="preserve">INSTRUCCIONES </w:t>
      </w:r>
      <w:r w:rsidRPr="00FE1A70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1A70">
        <w:rPr>
          <w:rFonts w:ascii="Arial" w:hAnsi="Arial" w:cs="Arial"/>
          <w:color w:val="000000"/>
          <w:sz w:val="28"/>
          <w:szCs w:val="28"/>
        </w:rPr>
        <w:t>PARA</w:t>
      </w:r>
      <w:proofErr w:type="gramEnd"/>
      <w:r w:rsidRPr="00FE1A70">
        <w:rPr>
          <w:rFonts w:ascii="Arial" w:hAnsi="Arial" w:cs="Arial"/>
          <w:color w:val="000000"/>
          <w:sz w:val="28"/>
          <w:szCs w:val="28"/>
        </w:rPr>
        <w:t xml:space="preserve"> LOS AUTORES</w:t>
      </w:r>
      <w:r w:rsidRPr="00FE1A70">
        <w:rPr>
          <w:rFonts w:ascii="Arial" w:hAnsi="Arial" w:cs="Arial"/>
          <w:color w:val="000000"/>
          <w:sz w:val="28"/>
          <w:szCs w:val="28"/>
        </w:rPr>
        <w:t xml:space="preserve"> QUE ESCRIBAN EN  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70706F"/>
          <w:sz w:val="56"/>
          <w:szCs w:val="56"/>
        </w:rPr>
      </w:pPr>
    </w:p>
    <w:p w:rsidR="00FE1A70" w:rsidRP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70706F"/>
          <w:sz w:val="28"/>
          <w:szCs w:val="28"/>
        </w:rPr>
      </w:pPr>
      <w:r w:rsidRPr="00FE1A70"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>COMUNIFÉ</w:t>
      </w:r>
    </w:p>
    <w:p w:rsidR="00FE1A70" w:rsidRP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70706F"/>
          <w:sz w:val="28"/>
          <w:szCs w:val="28"/>
        </w:rPr>
      </w:pPr>
      <w:r w:rsidRPr="00FE1A70"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>Revista del Departamento</w:t>
      </w:r>
      <w:r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 xml:space="preserve"> </w:t>
      </w:r>
      <w:r w:rsidRPr="00FE1A70"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>Académico</w:t>
      </w:r>
      <w:r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 xml:space="preserve"> </w:t>
      </w:r>
      <w:r w:rsidRPr="00FE1A70"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>de Idiomas y Ciencias</w:t>
      </w:r>
      <w:r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 xml:space="preserve"> </w:t>
      </w:r>
      <w:r w:rsidRPr="00FE1A70"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>de la Comunicación</w:t>
      </w:r>
      <w:r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 xml:space="preserve"> </w:t>
      </w:r>
      <w:r w:rsidRPr="00FE1A70"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>de la Universidad</w:t>
      </w:r>
      <w:r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 xml:space="preserve"> </w:t>
      </w:r>
      <w:r w:rsidRPr="00FE1A70"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>Femenina</w:t>
      </w:r>
      <w:r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 xml:space="preserve"> </w:t>
      </w:r>
      <w:r w:rsidRPr="00FE1A70">
        <w:rPr>
          <w:rFonts w:ascii="AGaramondPro-Bold" w:hAnsi="AGaramondPro-Bold" w:cs="AGaramondPro-Bold"/>
          <w:b/>
          <w:bCs/>
          <w:color w:val="70706F"/>
          <w:sz w:val="28"/>
          <w:szCs w:val="28"/>
        </w:rPr>
        <w:t>del Sagrado Corazón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spellStart"/>
      <w:r>
        <w:rPr>
          <w:rFonts w:ascii="AGaramondPro-Regular" w:hAnsi="AGaramondPro-Regular" w:cs="AGaramondPro-Regular"/>
          <w:color w:val="000000"/>
          <w:sz w:val="40"/>
          <w:szCs w:val="40"/>
        </w:rPr>
        <w:t>C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omunifé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constituye un órgano de difusión académica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del Departamento de Idiomas y Ciencias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de la Comunicación, que pretende promover y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difundir la producción de artículos sobre temas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de actualidad de la disciplina de Comunicación,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aspira posicionarse como una revista de alto nivel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académico, tanto en el ámbito de las comunidades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académicas como entre los investigadores. Es una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publicación de periodicidad anual y sus artículos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son arbitrados.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Nuestro propósito es que la revista se convierta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en una fuente importante de consulta para los estudiosos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de la comunicación, de manera que contribuya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 los debates académicos y empresariales.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Para tal fin,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Comunifé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recibe la colaboración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de investigadores </w:t>
      </w: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y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P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rofesionales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de la comunicación,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las ciencias sociales y las humanidades, cuyos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trabajos respondan al tema seleccionado y deseen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participar.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Se recibirán artículos originales, no publicados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y no enviados para su publicación a ningún otro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medio.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Si se tratase de un trabajo presentado en algún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congreso o jornada científica, se indicará al final del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texto, y justificado a la derecha: “trabajo presentado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en…”, seguido del nombre de la convocatoria,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fecha y lugar.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Queda entendido que se cuenta con autorización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para publicarlo.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• Los textos se enviarán en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CD-rom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o por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correo electrónico como documento adjunto,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al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e-mail: dpcc@unife.edu.pe indicando en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asunto del mensaje COMUNIFÉ y nombre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del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autor.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Deberán estar en formado Word, con uno y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medio de interlínea.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Tamaño y tipo de fuente: Arial de 12 puntos.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La extensión promedio de los artículos variará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entre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08 y 12 páginas, A4.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• Los autores deben enviar su </w:t>
      </w:r>
      <w:proofErr w:type="spellStart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curriculum</w:t>
      </w:r>
      <w:proofErr w:type="spellEnd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 vitae</w:t>
      </w: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simplificado, en un párrafo de no más de 08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líneas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, sus grados o títulos, el nombre de la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institución de afiliación, el cargo que ocupa,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sus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publicaciones, incluyendo su dirección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electrónica, teléfono y dirección postal.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Los autores ceden y transfieren en forma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exclusiva, a través de una carta dirigida al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Departamento de Idiomas y Ciencias de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la Comunicación, el derecho de publicar,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distribuir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y divulgar su obra a través de la revista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Comunifé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, tanto en el territorio nacional como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fuera del país.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También se pueden recibir artículos en inglés,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francés o portugués; para su aceptación y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publicación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, deben ser revisados por miembros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del consejo editorial.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Después de la revisión y arbitraje de los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artículos, por parte de los especialistas o pares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evaluadores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, el Consejo Editorial se reserva el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derecho de recomendar o no su publicación, o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publicar con adecuaciones, comunicando dicha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decisión a los autores. Además, en algunos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casos realizamos modificaciones de forma, para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preservar el estilo de la revista.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3"/>
          <w:szCs w:val="23"/>
        </w:rPr>
      </w:pP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3"/>
          <w:szCs w:val="23"/>
        </w:rPr>
      </w:pPr>
      <w:r>
        <w:rPr>
          <w:rFonts w:ascii="AGaramondPro-Bold" w:hAnsi="AGaramondPro-Bold" w:cs="AGaramondPro-Bold"/>
          <w:b/>
          <w:bCs/>
          <w:color w:val="000000"/>
          <w:sz w:val="23"/>
          <w:szCs w:val="23"/>
        </w:rPr>
        <w:t>Estructura de las colaboraciones: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Título, no más de dos líneas. No usar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abreviaturas.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Autor(a), el nombre y apellidos, y el grado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académico más alto.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• Resumen o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abstract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del artículo, en no más de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08 líneas (no es necesario traducir al inglés).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El resumen consiste en una breve introducción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(antecedentes del porqué del estudio, el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lastRenderedPageBreak/>
        <w:t>objetivo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principal del estudio, referencia al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diseño o tipo de investigación, lugar donde se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realiza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el estudio, los sujetos del estudio, los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procedimientos y métodos, análisis estadístico,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resultados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y conclusiones más importantes.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Después del resumen deben ir las palabras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clave, de 03 a 06 palabras clave, útiles para su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identificación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Los artículos pueden ser científicos, técnicos, de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ensayo, de opinión y comentarios. Los primeros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son el resultado de investigaciones concluidas, los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segundos pueden ser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investigaciones en proceso,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los otros (opinión y comentarios) constituyen informaciones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documentadas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y los autores pueden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ser invitados a publicar en esta modalidad.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Los artículos científicos, (aparte del título,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nombre del autor, resumen y palabras clave)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tienen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la siguiente estructura: Introducción,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material y método; resultados; discusión;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conclusiones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y referencias bibliográficas.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– La Introducción. </w:t>
      </w: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incluye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la exposición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de motivos y objetivos del trabajo, breve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referencia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al marco teórico; no incluir ni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resultados ni conclusiones. No exceder las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02 páginas.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– Métodos: Describe las características de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los sujetos del estudio, las técnicas,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p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rocedimientos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y estadísticos.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– Resultados: Presentar de manera ordenada,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simplificada y coherente. Puede usar tablas,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figuras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y fotografías complementarias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– Discusión: Incidir en aspectos nuevos e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importantes del estudio y las conclusiones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que se derivan de él. Se debe establecer el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nexo entre objetivos y conclusiones.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Si se utilizan siglas, la primera vez se escribirán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las palabras completas seguidas por sus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siglas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entre paréntesis. Se recomienda usar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abreviaturas estándar.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No deben dejarse espacios entre párrafos.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No colocar sangría ni usar negritas, ni subrayado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o palabras completas en mayúsculas.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No abusar de los puntos suspensivos.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En caso de tener cuadros o gráficos, se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recomienda trabajarlos en Excel, y presentarlos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aparte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, en su programa original; deben estar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enumerados en orden correlativo, con su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respectivo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título y la mención de la fuente.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Si se tuviese imágenes, grabarlas en formato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bmp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 Recordar que la publicación es en blanco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y negro.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La responsabilidad del contenido, autoría y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originalidad del artículo es exclusivamente de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sus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autores.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Las notas a pie de página serán informativas o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aclaratorias.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• Al citar a un autor se coloca, después de la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cita, el apellido del autor, el año y la página;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por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ejemplo, (Hernández 2006: 125). Al final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del texto, indicar las referencias o bibliografía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empleada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(</w:t>
      </w:r>
      <w:r w:rsidRPr="00F162E4">
        <w:rPr>
          <w:rFonts w:ascii="AGaramondPro-Regular" w:hAnsi="AGaramondPro-Regular" w:cs="AGaramondPro-Regular"/>
          <w:b/>
          <w:color w:val="000000"/>
          <w:sz w:val="24"/>
          <w:szCs w:val="24"/>
        </w:rPr>
        <w:t>no más de 20 referencias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), organizada</w:t>
      </w:r>
      <w:r w:rsidR="00F162E4"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en orden alfabético. Se consignará nombre del</w:t>
      </w:r>
      <w:r w:rsidR="00F162E4"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autor, año de edición, título de la obra, lugar y</w:t>
      </w:r>
      <w:r w:rsidR="00F162E4">
        <w:rPr>
          <w:rFonts w:ascii="AGaramondPro-Regular" w:hAnsi="AGaramondPro-Regular" w:cs="AGaramondPro-Regular"/>
          <w:color w:val="000000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nombre de la editorial, páginas; por ejemplo: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3"/>
          <w:szCs w:val="23"/>
        </w:rPr>
      </w:pPr>
      <w:r>
        <w:rPr>
          <w:rFonts w:ascii="AGaramondPro-Bold" w:hAnsi="AGaramondPro-Bold" w:cs="AGaramondPro-Bold"/>
          <w:b/>
          <w:bCs/>
          <w:color w:val="000000"/>
          <w:sz w:val="23"/>
          <w:szCs w:val="23"/>
        </w:rPr>
        <w:t>Libros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Hernández, Roberto et al. (2006). </w:t>
      </w: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Metodología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de</w:t>
      </w:r>
      <w:proofErr w:type="gramEnd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 la investigación.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México: McGraw Hill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Interamericana Ediciones S.A. 4° edición.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3"/>
          <w:szCs w:val="23"/>
        </w:rPr>
      </w:pPr>
      <w:r>
        <w:rPr>
          <w:rFonts w:ascii="AGaramondPro-Bold" w:hAnsi="AGaramondPro-Bold" w:cs="AGaramondPro-Bold"/>
          <w:b/>
          <w:bCs/>
          <w:color w:val="000000"/>
          <w:sz w:val="23"/>
          <w:szCs w:val="23"/>
        </w:rPr>
        <w:t>– Artículos de revistas y periódicos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Wagner, Patrick. (2010). </w:t>
      </w: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“Sobre la muerte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y</w:t>
      </w:r>
      <w:proofErr w:type="gramEnd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 el morir: Aspectos Éticos”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.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Consensus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15.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Lima-Perú: Universidad Femenina del Sagrado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Corazón.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Coaguila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, Jorge (10 de octubre del 2010).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“De periodista a entrevistado”,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Mario Vargas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Llosa. El Dominical de El Comercio. Lima.</w:t>
      </w:r>
    </w:p>
    <w:p w:rsidR="00F162E4" w:rsidRDefault="00F162E4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bookmarkStart w:id="0" w:name="_GoBack"/>
      <w:bookmarkEnd w:id="0"/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color w:val="000000"/>
          <w:sz w:val="28"/>
          <w:szCs w:val="28"/>
        </w:rPr>
      </w:pPr>
      <w:r>
        <w:rPr>
          <w:rFonts w:ascii="AGaramondPro-Bold" w:hAnsi="AGaramondPro-Bold" w:cs="AGaramondPro-Bold"/>
          <w:b/>
          <w:bCs/>
          <w:color w:val="000000"/>
          <w:sz w:val="23"/>
          <w:szCs w:val="23"/>
        </w:rPr>
        <w:lastRenderedPageBreak/>
        <w:t xml:space="preserve">– Páginas web </w:t>
      </w:r>
      <w:r>
        <w:rPr>
          <w:rFonts w:ascii="PalatinoLinotype-Roman" w:hAnsi="PalatinoLinotype-Roman" w:cs="PalatinoLinotype-Roman"/>
          <w:color w:val="000000"/>
          <w:sz w:val="28"/>
          <w:szCs w:val="28"/>
        </w:rPr>
        <w:t>89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Peirce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, Ch. (1988). </w:t>
      </w: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“Cómo esclarecer nuestras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ideas</w:t>
      </w:r>
      <w:proofErr w:type="gramEnd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”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en: Grupo de Estudios 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Peirceanos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(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on</w:t>
      </w:r>
      <w:proofErr w:type="spellEnd"/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line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>). Disponible en Internet http: //www.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es/</w:t>
      </w: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gep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/HowMakeIdeas.html. Consultado el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16 de abril de 2010.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3"/>
          <w:szCs w:val="23"/>
        </w:rPr>
      </w:pPr>
      <w:r>
        <w:rPr>
          <w:rFonts w:ascii="AGaramondPro-Bold" w:hAnsi="AGaramondPro-Bold" w:cs="AGaramondPro-Bold"/>
          <w:b/>
          <w:bCs/>
          <w:color w:val="000000"/>
          <w:sz w:val="23"/>
          <w:szCs w:val="23"/>
        </w:rPr>
        <w:t>– Tesis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Arica, Carmen (1992). </w:t>
      </w: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Fines e importancia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proofErr w:type="gramStart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de</w:t>
      </w:r>
      <w:proofErr w:type="gramEnd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 la lectura y el nivel de comprensión lectora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proofErr w:type="gramStart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de</w:t>
      </w:r>
      <w:proofErr w:type="gramEnd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 los alumnos del 6° grado de educación primaria: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Estudio realizado con niños y docentes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proofErr w:type="gramStart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de</w:t>
      </w:r>
      <w:proofErr w:type="gramEnd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 centros educativos estatales del distrito de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Lince.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Tesis para optar el título de Licenciada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en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Ciencias de la Educación. Lima-Perú: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spellStart"/>
      <w:r>
        <w:rPr>
          <w:rFonts w:ascii="AGaramondPro-Regular" w:hAnsi="AGaramondPro-Regular" w:cs="AGaramondPro-Regular"/>
          <w:color w:val="000000"/>
          <w:sz w:val="23"/>
          <w:szCs w:val="23"/>
        </w:rPr>
        <w:t>Unifé</w:t>
      </w:r>
      <w:proofErr w:type="spellEnd"/>
      <w:r>
        <w:rPr>
          <w:rFonts w:ascii="AGaramondPro-Regular" w:hAnsi="AGaramondPro-Regular" w:cs="AGaramondPro-Regular"/>
          <w:color w:val="000000"/>
          <w:sz w:val="23"/>
          <w:szCs w:val="23"/>
        </w:rPr>
        <w:t>.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Bold" w:hAnsi="AGaramondPro-Bold" w:cs="AGaramondPro-Bold"/>
          <w:b/>
          <w:bCs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– </w:t>
      </w:r>
      <w:r>
        <w:rPr>
          <w:rFonts w:ascii="AGaramondPro-Bold" w:hAnsi="AGaramondPro-Bold" w:cs="AGaramondPro-Bold"/>
          <w:b/>
          <w:bCs/>
          <w:color w:val="000000"/>
          <w:sz w:val="23"/>
          <w:szCs w:val="23"/>
        </w:rPr>
        <w:t>Ponencias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Meza, Rafael et al. (2007). </w:t>
      </w:r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“Neologismos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</w:pPr>
      <w:proofErr w:type="gramStart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en</w:t>
      </w:r>
      <w:proofErr w:type="gramEnd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 textos científicos producidos por docentes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>de</w:t>
      </w:r>
      <w:proofErr w:type="gramEnd"/>
      <w:r>
        <w:rPr>
          <w:rFonts w:ascii="AGaramondPro-Italic" w:hAnsi="AGaramondPro-Italic" w:cs="AGaramondPro-Italic"/>
          <w:i/>
          <w:iCs/>
          <w:color w:val="000000"/>
          <w:sz w:val="23"/>
          <w:szCs w:val="23"/>
        </w:rPr>
        <w:t xml:space="preserve"> la Región Andina Venezolana”. </w:t>
      </w:r>
      <w:r>
        <w:rPr>
          <w:rFonts w:ascii="AGaramondPro-Regular" w:hAnsi="AGaramondPro-Regular" w:cs="AGaramondPro-Regular"/>
          <w:color w:val="000000"/>
          <w:sz w:val="23"/>
          <w:szCs w:val="23"/>
        </w:rPr>
        <w:t>Ponencia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presentada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en el V Congreso Nacional de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r>
        <w:rPr>
          <w:rFonts w:ascii="AGaramondPro-Regular" w:hAnsi="AGaramondPro-Regular" w:cs="AGaramondPro-Regular"/>
          <w:color w:val="000000"/>
          <w:sz w:val="23"/>
          <w:szCs w:val="23"/>
        </w:rPr>
        <w:t>Investigaciones Lingüístico-Filológicas,</w:t>
      </w:r>
    </w:p>
    <w:p w:rsidR="00FE1A70" w:rsidRDefault="00FE1A70" w:rsidP="00FE1A7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3"/>
          <w:szCs w:val="23"/>
        </w:rPr>
      </w:pPr>
      <w:proofErr w:type="gramStart"/>
      <w:r>
        <w:rPr>
          <w:rFonts w:ascii="AGaramondPro-Regular" w:hAnsi="AGaramondPro-Regular" w:cs="AGaramondPro-Regular"/>
          <w:color w:val="000000"/>
          <w:sz w:val="23"/>
          <w:szCs w:val="23"/>
        </w:rPr>
        <w:t>organizado</w:t>
      </w:r>
      <w:proofErr w:type="gramEnd"/>
      <w:r>
        <w:rPr>
          <w:rFonts w:ascii="AGaramondPro-Regular" w:hAnsi="AGaramondPro-Regular" w:cs="AGaramondPro-Regular"/>
          <w:color w:val="000000"/>
          <w:sz w:val="23"/>
          <w:szCs w:val="23"/>
        </w:rPr>
        <w:t xml:space="preserve"> por la Universidad Ricardo</w:t>
      </w:r>
    </w:p>
    <w:p w:rsidR="00A56819" w:rsidRDefault="00FE1A70" w:rsidP="00FE1A70">
      <w:r>
        <w:rPr>
          <w:rFonts w:ascii="AGaramondPro-Regular" w:hAnsi="AGaramondPro-Regular" w:cs="AGaramondPro-Regular"/>
          <w:color w:val="000000"/>
          <w:sz w:val="23"/>
          <w:szCs w:val="23"/>
        </w:rPr>
        <w:t>Palma. Lima-Perú, 6 al 11 de agosto</w:t>
      </w:r>
    </w:p>
    <w:sectPr w:rsidR="00A56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70"/>
    <w:rsid w:val="00A56819"/>
    <w:rsid w:val="00F162E4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5E590F-0CED-45FF-9313-2FFF4D0F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factrad</dc:creator>
  <cp:keywords/>
  <dc:description/>
  <cp:lastModifiedBy>factrad</cp:lastModifiedBy>
  <cp:revision>1</cp:revision>
  <dcterms:created xsi:type="dcterms:W3CDTF">2017-05-22T18:36:00Z</dcterms:created>
  <dcterms:modified xsi:type="dcterms:W3CDTF">2017-05-22T18:46:00Z</dcterms:modified>
</cp:coreProperties>
</file>