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00" w:rsidRDefault="00603CF1">
      <w:pPr>
        <w:rPr>
          <w:rFonts w:ascii="Arial" w:hAnsi="Arial" w:cs="Arial"/>
          <w:b/>
          <w:bCs/>
          <w:sz w:val="28"/>
          <w:szCs w:val="28"/>
        </w:rPr>
      </w:pPr>
      <w:r>
        <w:rPr>
          <w:rFonts w:ascii="Arial" w:hAnsi="Arial" w:cs="Arial"/>
          <w:b/>
          <w:bCs/>
          <w:sz w:val="28"/>
          <w:szCs w:val="28"/>
        </w:rPr>
        <w:t>COMUNIFÉ  N° 16</w:t>
      </w:r>
      <w:r w:rsidR="00031900">
        <w:rPr>
          <w:rFonts w:ascii="Arial" w:hAnsi="Arial" w:cs="Arial"/>
          <w:b/>
          <w:bCs/>
          <w:sz w:val="28"/>
          <w:szCs w:val="28"/>
        </w:rPr>
        <w:t xml:space="preserve">  -  </w:t>
      </w:r>
      <w:r w:rsidR="00031900" w:rsidRPr="00DE5924">
        <w:rPr>
          <w:rFonts w:ascii="Arial" w:hAnsi="Arial" w:cs="Arial"/>
          <w:b/>
          <w:bCs/>
          <w:sz w:val="28"/>
          <w:szCs w:val="28"/>
        </w:rPr>
        <w:t>PARA TRADUCIR AL INGLÉS</w:t>
      </w:r>
      <w:r w:rsidR="00031900">
        <w:rPr>
          <w:rFonts w:ascii="Arial" w:hAnsi="Arial" w:cs="Arial"/>
          <w:b/>
          <w:bCs/>
          <w:sz w:val="28"/>
          <w:szCs w:val="28"/>
        </w:rPr>
        <w:t xml:space="preserve"> </w:t>
      </w:r>
    </w:p>
    <w:p w:rsidR="00603CF1" w:rsidRDefault="00603CF1" w:rsidP="00603CF1">
      <w:pPr>
        <w:spacing w:after="0" w:line="240" w:lineRule="auto"/>
        <w:rPr>
          <w:rFonts w:ascii="Arial" w:hAnsi="Arial" w:cs="Arial"/>
          <w:b/>
          <w:bCs/>
          <w:sz w:val="28"/>
          <w:szCs w:val="28"/>
        </w:rPr>
      </w:pPr>
    </w:p>
    <w:p w:rsidR="00603CF1" w:rsidRDefault="00603CF1" w:rsidP="00603CF1">
      <w:pPr>
        <w:spacing w:after="0" w:line="240" w:lineRule="auto"/>
        <w:rPr>
          <w:rFonts w:ascii="Arial" w:hAnsi="Arial" w:cs="Arial"/>
          <w:b/>
          <w:bCs/>
          <w:sz w:val="28"/>
          <w:szCs w:val="28"/>
        </w:rPr>
      </w:pPr>
    </w:p>
    <w:p w:rsidR="00603CF1" w:rsidRDefault="00603CF1" w:rsidP="00603CF1">
      <w:pPr>
        <w:spacing w:after="0" w:line="240" w:lineRule="auto"/>
        <w:rPr>
          <w:rFonts w:ascii="Arial" w:hAnsi="Arial" w:cs="Arial"/>
          <w:b/>
          <w:bCs/>
          <w:sz w:val="28"/>
          <w:szCs w:val="28"/>
        </w:rPr>
      </w:pPr>
    </w:p>
    <w:p w:rsidR="00603CF1" w:rsidRDefault="00603CF1" w:rsidP="00603CF1">
      <w:pPr>
        <w:spacing w:after="0" w:line="240" w:lineRule="auto"/>
        <w:rPr>
          <w:rFonts w:ascii="Arial" w:hAnsi="Arial" w:cs="Arial"/>
          <w:b/>
          <w:bCs/>
          <w:sz w:val="28"/>
          <w:szCs w:val="28"/>
        </w:rPr>
      </w:pPr>
    </w:p>
    <w:p w:rsidR="00603CF1" w:rsidRPr="00603CF1" w:rsidRDefault="00603CF1" w:rsidP="00603CF1">
      <w:pPr>
        <w:spacing w:after="0" w:line="240" w:lineRule="auto"/>
        <w:jc w:val="center"/>
        <w:rPr>
          <w:rFonts w:ascii="Arial" w:hAnsi="Arial" w:cs="Arial"/>
          <w:b/>
          <w:sz w:val="24"/>
          <w:szCs w:val="24"/>
        </w:rPr>
      </w:pPr>
      <w:r w:rsidRPr="00603CF1">
        <w:rPr>
          <w:rFonts w:ascii="Arial" w:hAnsi="Arial" w:cs="Arial"/>
          <w:b/>
          <w:sz w:val="24"/>
          <w:szCs w:val="24"/>
        </w:rPr>
        <w:t>Los periódicos limeños y la defensa de los derechos de la mujer en el siglo XX</w:t>
      </w:r>
    </w:p>
    <w:p w:rsidR="00031900" w:rsidRPr="00603CF1" w:rsidRDefault="00031900" w:rsidP="00D93F81">
      <w:pPr>
        <w:spacing w:after="0"/>
        <w:jc w:val="right"/>
        <w:rPr>
          <w:rFonts w:ascii="Arial" w:hAnsi="Arial" w:cs="Arial"/>
          <w:b/>
          <w:bCs/>
          <w:i/>
          <w:iCs/>
          <w:sz w:val="24"/>
          <w:szCs w:val="24"/>
        </w:rPr>
      </w:pPr>
    </w:p>
    <w:p w:rsidR="00603CF1" w:rsidRDefault="00603CF1" w:rsidP="00D93F81">
      <w:pPr>
        <w:spacing w:after="0"/>
        <w:rPr>
          <w:rFonts w:ascii="Arial" w:hAnsi="Arial" w:cs="Arial"/>
          <w:b/>
          <w:bCs/>
          <w:sz w:val="24"/>
          <w:szCs w:val="24"/>
        </w:rPr>
      </w:pPr>
    </w:p>
    <w:p w:rsidR="00603CF1" w:rsidRDefault="00603CF1" w:rsidP="00D93F81">
      <w:pPr>
        <w:spacing w:after="0"/>
        <w:rPr>
          <w:rFonts w:ascii="Arial" w:hAnsi="Arial" w:cs="Arial"/>
          <w:b/>
          <w:bCs/>
          <w:sz w:val="24"/>
          <w:szCs w:val="24"/>
        </w:rPr>
      </w:pPr>
    </w:p>
    <w:p w:rsidR="00031900" w:rsidRPr="00603CF1" w:rsidRDefault="00603CF1" w:rsidP="00D93F81">
      <w:pPr>
        <w:spacing w:after="0"/>
        <w:rPr>
          <w:rFonts w:ascii="Arial" w:hAnsi="Arial" w:cs="Arial"/>
          <w:b/>
          <w:bCs/>
          <w:sz w:val="24"/>
          <w:szCs w:val="24"/>
        </w:rPr>
      </w:pPr>
      <w:r>
        <w:rPr>
          <w:rFonts w:ascii="Arial" w:hAnsi="Arial" w:cs="Arial"/>
          <w:b/>
          <w:bCs/>
          <w:sz w:val="24"/>
          <w:szCs w:val="24"/>
        </w:rPr>
        <w:t xml:space="preserve">Por: </w:t>
      </w:r>
      <w:r w:rsidR="00031900" w:rsidRPr="00603CF1">
        <w:rPr>
          <w:rFonts w:ascii="Arial" w:hAnsi="Arial" w:cs="Arial"/>
          <w:b/>
          <w:bCs/>
          <w:sz w:val="24"/>
          <w:szCs w:val="24"/>
        </w:rPr>
        <w:t>María Mendoza Michilot</w:t>
      </w:r>
    </w:p>
    <w:p w:rsidR="00031900" w:rsidRPr="00603CF1" w:rsidRDefault="00031900" w:rsidP="00D93F81">
      <w:pPr>
        <w:spacing w:after="0"/>
        <w:rPr>
          <w:rFonts w:ascii="Arial" w:hAnsi="Arial" w:cs="Arial"/>
          <w:sz w:val="24"/>
          <w:szCs w:val="24"/>
        </w:rPr>
      </w:pPr>
    </w:p>
    <w:p w:rsidR="00031900" w:rsidRPr="00603CF1" w:rsidRDefault="00031900" w:rsidP="00D93F81">
      <w:pPr>
        <w:spacing w:after="0"/>
        <w:jc w:val="center"/>
        <w:rPr>
          <w:rFonts w:ascii="Arial" w:hAnsi="Arial" w:cs="Arial"/>
          <w:b/>
          <w:bCs/>
          <w:sz w:val="24"/>
          <w:szCs w:val="24"/>
        </w:rPr>
      </w:pPr>
      <w:r w:rsidRPr="00603CF1">
        <w:rPr>
          <w:rFonts w:ascii="Arial" w:hAnsi="Arial" w:cs="Arial"/>
          <w:b/>
          <w:bCs/>
          <w:sz w:val="24"/>
          <w:szCs w:val="24"/>
        </w:rPr>
        <w:t>Resumen</w:t>
      </w:r>
    </w:p>
    <w:p w:rsidR="00031900" w:rsidRPr="00603CF1" w:rsidRDefault="00031900" w:rsidP="00D93F81">
      <w:pPr>
        <w:spacing w:after="0"/>
        <w:jc w:val="center"/>
        <w:rPr>
          <w:rFonts w:ascii="Arial" w:hAnsi="Arial" w:cs="Arial"/>
          <w:b/>
          <w:bCs/>
          <w:sz w:val="24"/>
          <w:szCs w:val="24"/>
        </w:rPr>
      </w:pPr>
    </w:p>
    <w:p w:rsidR="00603CF1" w:rsidRPr="00603CF1" w:rsidRDefault="00603CF1" w:rsidP="00603CF1">
      <w:pPr>
        <w:spacing w:after="0" w:line="240" w:lineRule="auto"/>
        <w:jc w:val="both"/>
        <w:rPr>
          <w:rFonts w:ascii="Arial" w:hAnsi="Arial" w:cs="Arial"/>
          <w:sz w:val="24"/>
          <w:szCs w:val="24"/>
        </w:rPr>
      </w:pPr>
      <w:r w:rsidRPr="00603CF1">
        <w:rPr>
          <w:rFonts w:ascii="Arial" w:hAnsi="Arial" w:cs="Arial"/>
          <w:sz w:val="24"/>
          <w:szCs w:val="24"/>
        </w:rPr>
        <w:t xml:space="preserve">El papel de la mujer como actora protagónica del cambio social ha sido representado desde diversas perspectivas y enfoques en los diarios, revistas literarias o periódicos culturales de América Latina durante el siglo XX. Este estudio analiza cómo el texto periodístico perennizó los valores y capitales sociales y culturales de la mujer, su intervención como miembro activo de la sociedad civil y en la política. Históricamente, la prensa ha contribuido a que las mujeres entren a la esfera pública y de esta forma participen activamente en la vida de sus naciones. En el Perú, el periodismo impreso situó a la mujer en el mapa político, aunque no siempre con la equidad y justicia que merecía. Esta investigación señala que, salvo algunas excepciones, los principales periódicos de Lima se hicieron eco de las voces y los contextos adversos a que las mujeres ejercieran su derecho a elegir y ser elegidas. Desde una perspectiva histórica, comunicativa y sociológica, el análisis de los contenidos muestra qué se dijo sobre ese derecho y de qué manera aportaron al reconocimiento de la ciudadanía de las mujeres en la instauración del sufragio femenino, que se les concedió hace apenas cincuenta años. </w:t>
      </w:r>
    </w:p>
    <w:p w:rsidR="00603CF1" w:rsidRPr="00603CF1" w:rsidRDefault="00603CF1" w:rsidP="00603CF1">
      <w:pPr>
        <w:spacing w:after="0" w:line="240" w:lineRule="auto"/>
        <w:jc w:val="both"/>
        <w:rPr>
          <w:rFonts w:ascii="Arial" w:eastAsia="Times New Roman" w:hAnsi="Arial" w:cs="Arial"/>
          <w:sz w:val="24"/>
          <w:szCs w:val="24"/>
        </w:rPr>
      </w:pPr>
      <w:r w:rsidRPr="00603CF1">
        <w:rPr>
          <w:rFonts w:ascii="Arial" w:hAnsi="Arial" w:cs="Arial"/>
          <w:b/>
          <w:sz w:val="24"/>
          <w:szCs w:val="24"/>
        </w:rPr>
        <w:t xml:space="preserve">Palabras clave: </w:t>
      </w:r>
      <w:r w:rsidRPr="00603CF1">
        <w:rPr>
          <w:rFonts w:ascii="Arial" w:eastAsia="Times New Roman" w:hAnsi="Arial" w:cs="Arial"/>
          <w:sz w:val="24"/>
          <w:szCs w:val="24"/>
        </w:rPr>
        <w:t>Periódicos; ciudadanía; comunicación política; comunidad política; mujer</w:t>
      </w:r>
    </w:p>
    <w:p w:rsidR="00603CF1" w:rsidRPr="00F33141" w:rsidRDefault="00603CF1" w:rsidP="00603CF1">
      <w:pPr>
        <w:spacing w:after="0" w:line="240" w:lineRule="auto"/>
        <w:jc w:val="both"/>
        <w:rPr>
          <w:rFonts w:ascii="Times New Roman" w:eastAsia="Times New Roman" w:hAnsi="Times New Roman" w:cs="Times New Roman"/>
          <w:sz w:val="24"/>
          <w:szCs w:val="24"/>
        </w:rPr>
      </w:pPr>
    </w:p>
    <w:p w:rsidR="00031900" w:rsidRDefault="00031900">
      <w:pPr>
        <w:rPr>
          <w:b/>
          <w:bCs/>
          <w:sz w:val="24"/>
          <w:szCs w:val="24"/>
        </w:rPr>
      </w:pPr>
    </w:p>
    <w:p w:rsidR="00603CF1" w:rsidRDefault="00603CF1" w:rsidP="00603CF1">
      <w:pPr>
        <w:rPr>
          <w:b/>
          <w:bCs/>
          <w:sz w:val="24"/>
          <w:szCs w:val="24"/>
        </w:rPr>
      </w:pPr>
    </w:p>
    <w:p w:rsidR="00603CF1" w:rsidRDefault="00603CF1" w:rsidP="00603CF1">
      <w:pPr>
        <w:rPr>
          <w:b/>
          <w:bCs/>
          <w:sz w:val="24"/>
          <w:szCs w:val="24"/>
        </w:rPr>
      </w:pPr>
    </w:p>
    <w:p w:rsidR="00603CF1" w:rsidRDefault="00603CF1" w:rsidP="00603CF1">
      <w:pPr>
        <w:rPr>
          <w:b/>
          <w:bCs/>
          <w:sz w:val="24"/>
          <w:szCs w:val="24"/>
        </w:rPr>
      </w:pPr>
    </w:p>
    <w:p w:rsidR="00603CF1" w:rsidRDefault="00603CF1" w:rsidP="00603CF1">
      <w:pPr>
        <w:rPr>
          <w:b/>
          <w:bCs/>
          <w:sz w:val="24"/>
          <w:szCs w:val="24"/>
        </w:rPr>
      </w:pPr>
    </w:p>
    <w:p w:rsidR="00603CF1" w:rsidRDefault="00603CF1" w:rsidP="00603CF1">
      <w:pPr>
        <w:rPr>
          <w:rFonts w:ascii="Arial" w:hAnsi="Arial" w:cs="Arial"/>
          <w:b/>
          <w:sz w:val="24"/>
          <w:szCs w:val="24"/>
        </w:rPr>
      </w:pPr>
    </w:p>
    <w:p w:rsidR="00603CF1" w:rsidRPr="00CA0C09" w:rsidRDefault="00603CF1" w:rsidP="00603CF1">
      <w:pPr>
        <w:rPr>
          <w:rFonts w:ascii="Arial" w:hAnsi="Arial" w:cs="Arial"/>
          <w:b/>
          <w:sz w:val="24"/>
          <w:szCs w:val="24"/>
        </w:rPr>
      </w:pPr>
      <w:r w:rsidRPr="00CA0C09">
        <w:rPr>
          <w:rFonts w:ascii="Arial" w:hAnsi="Arial" w:cs="Arial"/>
          <w:b/>
          <w:sz w:val="24"/>
          <w:szCs w:val="24"/>
        </w:rPr>
        <w:lastRenderedPageBreak/>
        <w:t>EL FEMINICIDIO EN LA TELEVISIÓN DE SEÑAL ABIERTA DE LIMA</w:t>
      </w:r>
    </w:p>
    <w:p w:rsidR="00603CF1" w:rsidRDefault="00603CF1" w:rsidP="00603CF1">
      <w:pPr>
        <w:rPr>
          <w:rFonts w:ascii="Arial" w:hAnsi="Arial" w:cs="Arial"/>
          <w:b/>
          <w:sz w:val="24"/>
          <w:szCs w:val="24"/>
        </w:rPr>
      </w:pPr>
    </w:p>
    <w:p w:rsidR="00603CF1" w:rsidRPr="00292576" w:rsidRDefault="00603CF1" w:rsidP="00603CF1">
      <w:pPr>
        <w:rPr>
          <w:rFonts w:ascii="Arial" w:hAnsi="Arial" w:cs="Arial"/>
          <w:b/>
          <w:sz w:val="24"/>
          <w:szCs w:val="24"/>
        </w:rPr>
      </w:pPr>
      <w:r w:rsidRPr="00292576">
        <w:rPr>
          <w:rFonts w:ascii="Arial" w:hAnsi="Arial" w:cs="Arial"/>
          <w:b/>
          <w:sz w:val="24"/>
          <w:szCs w:val="24"/>
        </w:rPr>
        <w:t>RESUMEN</w:t>
      </w:r>
    </w:p>
    <w:p w:rsidR="00603CF1" w:rsidRDefault="00603CF1" w:rsidP="00603CF1">
      <w:pPr>
        <w:spacing w:before="120" w:line="360" w:lineRule="auto"/>
        <w:rPr>
          <w:rFonts w:ascii="Arial" w:eastAsia="Times New Roman" w:hAnsi="Arial" w:cs="Arial"/>
          <w:sz w:val="24"/>
          <w:szCs w:val="24"/>
          <w:lang w:val="es-ES" w:eastAsia="es-ES"/>
        </w:rPr>
      </w:pPr>
      <w:r w:rsidRPr="00292576">
        <w:rPr>
          <w:rFonts w:ascii="Arial" w:hAnsi="Arial" w:cs="Arial"/>
          <w:sz w:val="24"/>
          <w:szCs w:val="24"/>
        </w:rPr>
        <w:t>Esta investigación es continuación de dos investigaciones realizadas en el Instituto de Investigaciones Humanísticas de la Universidad de San Marcos durante los años 2011 y 2012, cuya temática fue en el primer caso “Violencia, mujer y televisión” y en el segundo “Violencia, mujer y prensa escrita”.</w:t>
      </w:r>
    </w:p>
    <w:p w:rsidR="00603CF1" w:rsidRDefault="00603CF1" w:rsidP="00603CF1">
      <w:pPr>
        <w:spacing w:before="120" w:line="360" w:lineRule="auto"/>
        <w:rPr>
          <w:rFonts w:ascii="Arial" w:hAnsi="Arial" w:cs="Arial"/>
          <w:sz w:val="24"/>
          <w:szCs w:val="24"/>
        </w:rPr>
      </w:pPr>
      <w:r w:rsidRPr="00292576">
        <w:rPr>
          <w:rFonts w:ascii="Arial" w:hAnsi="Arial" w:cs="Arial"/>
          <w:sz w:val="24"/>
          <w:szCs w:val="24"/>
        </w:rPr>
        <w:t xml:space="preserve">En este caso, se concreta más el tema, ya que si en las investigaciones anteriores se trataba de la violencia en general contra la mujer, </w:t>
      </w:r>
      <w:r>
        <w:rPr>
          <w:rFonts w:ascii="Arial" w:hAnsi="Arial" w:cs="Arial"/>
          <w:sz w:val="24"/>
          <w:szCs w:val="24"/>
        </w:rPr>
        <w:t xml:space="preserve">aquí </w:t>
      </w:r>
      <w:r w:rsidRPr="00292576">
        <w:rPr>
          <w:rFonts w:ascii="Arial" w:hAnsi="Arial" w:cs="Arial"/>
          <w:sz w:val="24"/>
          <w:szCs w:val="24"/>
        </w:rPr>
        <w:t xml:space="preserve">  se trata del fenómeno llamado “feminici</w:t>
      </w:r>
      <w:r>
        <w:rPr>
          <w:rFonts w:ascii="Arial" w:hAnsi="Arial" w:cs="Arial"/>
          <w:sz w:val="24"/>
          <w:szCs w:val="24"/>
        </w:rPr>
        <w:t>dio” que es una violencia especí</w:t>
      </w:r>
      <w:r w:rsidRPr="00292576">
        <w:rPr>
          <w:rFonts w:ascii="Arial" w:hAnsi="Arial" w:cs="Arial"/>
          <w:sz w:val="24"/>
          <w:szCs w:val="24"/>
        </w:rPr>
        <w:t>fica dirigida contra la mujer por el solo hecho de serlo y que no le permite a ésta gozar de los derechos que por su condición humana, social y personal le corresponde. Estos crímenes se insertan dentro del “machismo” entendido como un comportamiento colectivo  donde el poder es ejercido de manera desigual en beneficio del hombre.  Se le considera una pandemia a nivel mundial y motivo de preocupación de los gobiernos, los sistemas legales, sociales, económicos y educativos.</w:t>
      </w:r>
    </w:p>
    <w:p w:rsidR="00603CF1" w:rsidRPr="00292576" w:rsidRDefault="00603CF1" w:rsidP="00603CF1">
      <w:pPr>
        <w:spacing w:before="120" w:line="360" w:lineRule="auto"/>
        <w:rPr>
          <w:rFonts w:ascii="Arial" w:hAnsi="Arial" w:cs="Arial"/>
          <w:sz w:val="24"/>
          <w:szCs w:val="24"/>
        </w:rPr>
      </w:pPr>
      <w:r w:rsidRPr="00292576">
        <w:rPr>
          <w:rFonts w:ascii="Arial" w:hAnsi="Arial" w:cs="Arial"/>
          <w:sz w:val="24"/>
          <w:szCs w:val="24"/>
        </w:rPr>
        <w:t>En nuestro país lamentablemente este fenómeno viene aumentando cada vez más y son los medios de comunicación, concretamente la televisión, los que informan de manera insuficiente, parcializada e incorrecta</w:t>
      </w:r>
      <w:r>
        <w:rPr>
          <w:rFonts w:ascii="Arial" w:hAnsi="Arial" w:cs="Arial"/>
          <w:sz w:val="24"/>
          <w:szCs w:val="24"/>
        </w:rPr>
        <w:t xml:space="preserve">, lo </w:t>
      </w:r>
      <w:r w:rsidRPr="00292576">
        <w:rPr>
          <w:rFonts w:ascii="Arial" w:hAnsi="Arial" w:cs="Arial"/>
          <w:sz w:val="24"/>
          <w:szCs w:val="24"/>
        </w:rPr>
        <w:t>que a la larga contribuye a que las cosas sigan igual y que no se aborde el asunto de una manera que</w:t>
      </w:r>
      <w:r>
        <w:rPr>
          <w:rFonts w:ascii="Arial" w:hAnsi="Arial" w:cs="Arial"/>
          <w:sz w:val="24"/>
          <w:szCs w:val="24"/>
        </w:rPr>
        <w:t xml:space="preserve"> supere esta</w:t>
      </w:r>
      <w:r w:rsidRPr="00292576">
        <w:rPr>
          <w:rFonts w:ascii="Arial" w:hAnsi="Arial" w:cs="Arial"/>
          <w:sz w:val="24"/>
          <w:szCs w:val="24"/>
        </w:rPr>
        <w:t xml:space="preserve"> </w:t>
      </w:r>
      <w:r>
        <w:rPr>
          <w:rFonts w:ascii="Arial" w:hAnsi="Arial" w:cs="Arial"/>
          <w:sz w:val="24"/>
          <w:szCs w:val="24"/>
        </w:rPr>
        <w:t>problemática.</w:t>
      </w:r>
    </w:p>
    <w:p w:rsidR="00603CF1" w:rsidRPr="00292576" w:rsidRDefault="00603CF1" w:rsidP="00603CF1">
      <w:pPr>
        <w:spacing w:before="120" w:line="360" w:lineRule="auto"/>
        <w:rPr>
          <w:rFonts w:ascii="Arial" w:hAnsi="Arial" w:cs="Arial"/>
          <w:sz w:val="24"/>
          <w:szCs w:val="24"/>
        </w:rPr>
      </w:pPr>
      <w:r>
        <w:rPr>
          <w:rFonts w:ascii="Arial" w:hAnsi="Arial" w:cs="Arial"/>
          <w:sz w:val="24"/>
          <w:szCs w:val="24"/>
        </w:rPr>
        <w:t>El presente estudio analiza</w:t>
      </w:r>
      <w:r w:rsidRPr="00292576">
        <w:rPr>
          <w:rFonts w:ascii="Arial" w:hAnsi="Arial" w:cs="Arial"/>
          <w:sz w:val="24"/>
          <w:szCs w:val="24"/>
        </w:rPr>
        <w:t xml:space="preserve"> una muestra de noticias televisivas de señal abierta para detectar los aspectos positivos y negativos que venimos comentando y así detectar si la televisión </w:t>
      </w:r>
      <w:r>
        <w:rPr>
          <w:rFonts w:ascii="Arial" w:hAnsi="Arial" w:cs="Arial"/>
          <w:sz w:val="24"/>
          <w:szCs w:val="24"/>
        </w:rPr>
        <w:t xml:space="preserve">está cumpliendo </w:t>
      </w:r>
      <w:r w:rsidRPr="00292576">
        <w:rPr>
          <w:rFonts w:ascii="Arial" w:hAnsi="Arial" w:cs="Arial"/>
          <w:sz w:val="24"/>
          <w:szCs w:val="24"/>
        </w:rPr>
        <w:t xml:space="preserve">la labor social, informativa y veraz que le corresponde. </w:t>
      </w:r>
    </w:p>
    <w:p w:rsidR="00603CF1" w:rsidRDefault="00603CF1" w:rsidP="00603CF1">
      <w:pPr>
        <w:rPr>
          <w:rFonts w:ascii="Arial" w:hAnsi="Arial" w:cs="Arial"/>
          <w:sz w:val="24"/>
          <w:szCs w:val="24"/>
        </w:rPr>
      </w:pPr>
      <w:r w:rsidRPr="00292576">
        <w:rPr>
          <w:rFonts w:ascii="Arial" w:hAnsi="Arial" w:cs="Arial"/>
          <w:b/>
          <w:sz w:val="24"/>
          <w:szCs w:val="24"/>
        </w:rPr>
        <w:t xml:space="preserve">PALABRAS CLAVES: </w:t>
      </w:r>
      <w:r w:rsidRPr="00292576">
        <w:rPr>
          <w:rFonts w:ascii="Arial" w:hAnsi="Arial" w:cs="Arial"/>
          <w:sz w:val="24"/>
          <w:szCs w:val="24"/>
        </w:rPr>
        <w:t xml:space="preserve">feminicidio, televisión limeña, señal abierta. </w:t>
      </w:r>
    </w:p>
    <w:p w:rsidR="00603CF1" w:rsidRDefault="00603CF1" w:rsidP="00603CF1">
      <w:pPr>
        <w:spacing w:after="0" w:line="240" w:lineRule="auto"/>
        <w:rPr>
          <w:sz w:val="24"/>
          <w:szCs w:val="24"/>
        </w:rPr>
      </w:pPr>
    </w:p>
    <w:p w:rsidR="00603CF1" w:rsidRDefault="00603CF1" w:rsidP="00603CF1">
      <w:pPr>
        <w:spacing w:after="0" w:line="240" w:lineRule="auto"/>
        <w:rPr>
          <w:sz w:val="24"/>
          <w:szCs w:val="24"/>
        </w:rPr>
      </w:pPr>
    </w:p>
    <w:p w:rsidR="00603CF1" w:rsidRDefault="00603CF1" w:rsidP="00603CF1">
      <w:pPr>
        <w:spacing w:after="0" w:line="240" w:lineRule="auto"/>
        <w:rPr>
          <w:sz w:val="24"/>
          <w:szCs w:val="24"/>
        </w:rPr>
      </w:pPr>
    </w:p>
    <w:p w:rsidR="00603CF1" w:rsidRPr="00147CCD" w:rsidRDefault="00603CF1" w:rsidP="00603CF1">
      <w:pPr>
        <w:spacing w:line="480" w:lineRule="auto"/>
        <w:jc w:val="center"/>
        <w:rPr>
          <w:rFonts w:ascii="Arial" w:hAnsi="Arial" w:cs="Arial"/>
          <w:b/>
          <w:sz w:val="24"/>
          <w:szCs w:val="24"/>
        </w:rPr>
      </w:pPr>
      <w:r w:rsidRPr="00147CCD">
        <w:rPr>
          <w:rFonts w:ascii="Arial" w:hAnsi="Arial" w:cs="Arial"/>
          <w:b/>
          <w:sz w:val="24"/>
          <w:szCs w:val="24"/>
        </w:rPr>
        <w:lastRenderedPageBreak/>
        <w:t>Narrativa, ideología y efecto político en Persépolis</w:t>
      </w:r>
    </w:p>
    <w:p w:rsidR="00603CF1" w:rsidRPr="00CB4932" w:rsidRDefault="00603CF1" w:rsidP="00603CF1">
      <w:pPr>
        <w:spacing w:after="0" w:line="480" w:lineRule="auto"/>
        <w:jc w:val="center"/>
        <w:rPr>
          <w:rFonts w:ascii="Arial" w:hAnsi="Arial" w:cs="Arial"/>
          <w:b/>
          <w:sz w:val="24"/>
          <w:szCs w:val="24"/>
        </w:rPr>
      </w:pPr>
      <w:r w:rsidRPr="00CB4932">
        <w:rPr>
          <w:rFonts w:ascii="Arial" w:hAnsi="Arial" w:cs="Arial"/>
          <w:b/>
          <w:sz w:val="24"/>
          <w:szCs w:val="24"/>
        </w:rPr>
        <w:t>RESUMEN</w:t>
      </w:r>
    </w:p>
    <w:p w:rsidR="000539BA" w:rsidRDefault="000539BA" w:rsidP="000539BA">
      <w:pPr>
        <w:spacing w:after="0" w:line="480" w:lineRule="auto"/>
        <w:jc w:val="both"/>
      </w:pPr>
      <w:r w:rsidRPr="006446B8">
        <w:t xml:space="preserve">El </w:t>
      </w:r>
      <w:r>
        <w:t xml:space="preserve">presente trabajo analiza la historieta autobiográfica </w:t>
      </w:r>
      <w:r w:rsidRPr="00715196">
        <w:rPr>
          <w:i/>
        </w:rPr>
        <w:t>Persépolis</w:t>
      </w:r>
      <w:r w:rsidRPr="00232398">
        <w:t xml:space="preserve"> </w:t>
      </w:r>
      <w:r>
        <w:t xml:space="preserve">(2000) de la iraní Marjane Satrapi (1969). En 2002, la obra obtuvo el premio al </w:t>
      </w:r>
      <w:r w:rsidRPr="00C57F97">
        <w:rPr>
          <w:i/>
        </w:rPr>
        <w:t>Mejor Guion de Angoulême</w:t>
      </w:r>
      <w:r>
        <w:t xml:space="preserve">,  uno de los principales festivales de historieta a nivel mundial. Posteriormente, la historia fue adaptada al cine y ganó el </w:t>
      </w:r>
      <w:r w:rsidRPr="003C4E53">
        <w:rPr>
          <w:i/>
        </w:rPr>
        <w:t>Premio Especial del Jurado</w:t>
      </w:r>
      <w:r>
        <w:t xml:space="preserve"> del </w:t>
      </w:r>
      <w:r w:rsidRPr="003C4E53">
        <w:rPr>
          <w:i/>
        </w:rPr>
        <w:t>Festival de Cannes 2007</w:t>
      </w:r>
      <w:r>
        <w:rPr>
          <w:i/>
        </w:rPr>
        <w:t>.</w:t>
      </w:r>
      <w:r>
        <w:t xml:space="preserve">  La obra constituye un intento por reconstruir la vida de la a</w:t>
      </w:r>
      <w:r>
        <w:t xml:space="preserve">utora, su autobiografía, enmarcada en el modernismo y </w:t>
      </w:r>
      <w:r>
        <w:t xml:space="preserve"> pos</w:t>
      </w:r>
      <w:r>
        <w:t>tmodernismo</w:t>
      </w:r>
      <w:r>
        <w:t>, en el lapso de 1979 a 1994, período en que pasa por la niñez, adolescencia y juventud, en medio del conflictivo contexto político de su país, Irán, y su estadía de tres años en Viena.</w:t>
      </w:r>
    </w:p>
    <w:p w:rsidR="00603CF1" w:rsidRDefault="00603CF1" w:rsidP="00603CF1">
      <w:pPr>
        <w:rPr>
          <w:rFonts w:ascii="Arial" w:hAnsi="Arial" w:cs="Arial"/>
          <w:sz w:val="24"/>
          <w:szCs w:val="24"/>
        </w:rPr>
      </w:pPr>
      <w:r w:rsidRPr="00292576">
        <w:rPr>
          <w:rFonts w:ascii="Arial" w:hAnsi="Arial" w:cs="Arial"/>
          <w:b/>
          <w:sz w:val="24"/>
          <w:szCs w:val="24"/>
        </w:rPr>
        <w:t xml:space="preserve">PALABRAS CLAVES: </w:t>
      </w:r>
      <w:r>
        <w:rPr>
          <w:rFonts w:ascii="Arial" w:hAnsi="Arial" w:cs="Arial"/>
          <w:sz w:val="24"/>
          <w:szCs w:val="24"/>
        </w:rPr>
        <w:t>Historieta</w:t>
      </w:r>
      <w:r w:rsidR="000539BA">
        <w:rPr>
          <w:rFonts w:ascii="Arial" w:hAnsi="Arial" w:cs="Arial"/>
          <w:sz w:val="24"/>
          <w:szCs w:val="24"/>
        </w:rPr>
        <w:t>, autobiografía, modernidad y postmodernidad</w:t>
      </w:r>
      <w:r w:rsidRPr="00292576">
        <w:rPr>
          <w:rFonts w:ascii="Arial" w:hAnsi="Arial" w:cs="Arial"/>
          <w:sz w:val="24"/>
          <w:szCs w:val="24"/>
        </w:rPr>
        <w:t xml:space="preserve">. </w:t>
      </w:r>
    </w:p>
    <w:p w:rsidR="00603CF1" w:rsidRDefault="00603CF1" w:rsidP="00603CF1">
      <w:pPr>
        <w:spacing w:after="0" w:line="480" w:lineRule="auto"/>
        <w:jc w:val="both"/>
      </w:pPr>
    </w:p>
    <w:p w:rsidR="00031900" w:rsidRDefault="00031900" w:rsidP="00D93F81">
      <w:pPr>
        <w:rPr>
          <w:sz w:val="24"/>
          <w:szCs w:val="24"/>
        </w:rPr>
      </w:pPr>
    </w:p>
    <w:p w:rsidR="00031900" w:rsidRDefault="00031900" w:rsidP="00D93F81">
      <w:pPr>
        <w:rPr>
          <w:sz w:val="24"/>
          <w:szCs w:val="24"/>
        </w:rPr>
      </w:pPr>
    </w:p>
    <w:p w:rsidR="000539BA" w:rsidRPr="000539BA" w:rsidRDefault="000539BA" w:rsidP="000539BA">
      <w:pPr>
        <w:pStyle w:val="Puesto"/>
        <w:spacing w:line="480" w:lineRule="auto"/>
        <w:contextualSpacing/>
        <w:rPr>
          <w:color w:val="000000" w:themeColor="text1"/>
          <w:u w:val="none"/>
        </w:rPr>
      </w:pPr>
      <w:r w:rsidRPr="000539BA">
        <w:rPr>
          <w:color w:val="000000" w:themeColor="text1"/>
          <w:u w:val="none"/>
        </w:rPr>
        <w:t>LA CINEMATOGRAFÍA COMO RECURSO EDUCATIVO Y CULTURAL: EL CASO DEL CINE HISTÓRICO</w:t>
      </w:r>
    </w:p>
    <w:p w:rsidR="000539BA" w:rsidRDefault="000539BA" w:rsidP="000539BA">
      <w:pPr>
        <w:pStyle w:val="Puesto"/>
        <w:spacing w:line="480" w:lineRule="auto"/>
        <w:contextualSpacing/>
        <w:jc w:val="left"/>
        <w:rPr>
          <w:b w:val="0"/>
          <w:color w:val="000000" w:themeColor="text1"/>
          <w:u w:val="none"/>
        </w:rPr>
      </w:pPr>
    </w:p>
    <w:p w:rsidR="000539BA" w:rsidRPr="000539BA" w:rsidRDefault="000539BA" w:rsidP="000539BA">
      <w:pPr>
        <w:pStyle w:val="Puesto"/>
        <w:spacing w:line="480" w:lineRule="auto"/>
        <w:contextualSpacing/>
        <w:jc w:val="left"/>
        <w:rPr>
          <w:b w:val="0"/>
          <w:color w:val="000000" w:themeColor="text1"/>
          <w:u w:val="none"/>
        </w:rPr>
      </w:pPr>
      <w:r w:rsidRPr="000539BA">
        <w:rPr>
          <w:b w:val="0"/>
          <w:color w:val="000000" w:themeColor="text1"/>
          <w:u w:val="none"/>
        </w:rPr>
        <w:t>Mg. Ernesto Guevara Flores</w:t>
      </w:r>
    </w:p>
    <w:p w:rsidR="000539BA" w:rsidRDefault="000539BA" w:rsidP="000539BA">
      <w:pPr>
        <w:pStyle w:val="Puesto"/>
        <w:spacing w:line="480" w:lineRule="auto"/>
        <w:contextualSpacing/>
        <w:jc w:val="right"/>
        <w:rPr>
          <w:b w:val="0"/>
        </w:rPr>
      </w:pPr>
    </w:p>
    <w:p w:rsidR="000539BA" w:rsidRPr="000B5032" w:rsidRDefault="000539BA" w:rsidP="000539BA">
      <w:pPr>
        <w:spacing w:after="160" w:line="480" w:lineRule="auto"/>
        <w:contextualSpacing/>
        <w:jc w:val="center"/>
        <w:rPr>
          <w:rFonts w:ascii="Arial" w:hAnsi="Arial" w:cs="Arial"/>
        </w:rPr>
      </w:pPr>
    </w:p>
    <w:p w:rsidR="000539BA" w:rsidRPr="000B5032" w:rsidRDefault="000539BA" w:rsidP="000539BA">
      <w:pPr>
        <w:spacing w:after="160" w:line="480" w:lineRule="auto"/>
        <w:contextualSpacing/>
        <w:jc w:val="center"/>
        <w:rPr>
          <w:rFonts w:ascii="Arial" w:hAnsi="Arial" w:cs="Arial"/>
        </w:rPr>
      </w:pPr>
      <w:r w:rsidRPr="000B5032">
        <w:rPr>
          <w:rFonts w:ascii="Arial" w:hAnsi="Arial" w:cs="Arial"/>
        </w:rPr>
        <w:t>RESUMEN</w:t>
      </w:r>
    </w:p>
    <w:p w:rsidR="000539BA" w:rsidRPr="000B5032" w:rsidRDefault="000539BA" w:rsidP="000539BA">
      <w:pPr>
        <w:spacing w:after="160" w:line="480" w:lineRule="auto"/>
        <w:contextualSpacing/>
        <w:jc w:val="both"/>
        <w:rPr>
          <w:rFonts w:ascii="Arial" w:hAnsi="Arial" w:cs="Arial"/>
        </w:rPr>
      </w:pPr>
      <w:r w:rsidRPr="000B5032">
        <w:rPr>
          <w:rFonts w:ascii="Arial" w:hAnsi="Arial" w:cs="Arial"/>
        </w:rPr>
        <w:t>El artículo</w:t>
      </w:r>
      <w:r>
        <w:rPr>
          <w:rFonts w:ascii="Arial" w:hAnsi="Arial" w:cs="Arial"/>
        </w:rPr>
        <w:t xml:space="preserve"> explora las posibilidades del cine como recurso para la enseñanza en educación escolar y universitaria, a partir de los aportes de comunicadores y pedagogos que han unido la cinematografía con la educación. En ese sentido, se toma como caso el cine específicamente histórico y sus potencialidades a partir de las funciones informativa, </w:t>
      </w:r>
      <w:r>
        <w:rPr>
          <w:rFonts w:ascii="Arial" w:hAnsi="Arial" w:cs="Arial"/>
        </w:rPr>
        <w:lastRenderedPageBreak/>
        <w:t>motivadora y epistemológica que tiene en el ámbito educativo y cultural, proponiendo una metodología de uso de cine en aulas.</w:t>
      </w:r>
    </w:p>
    <w:p w:rsidR="000539BA" w:rsidRPr="000B5032" w:rsidRDefault="000539BA" w:rsidP="000539BA">
      <w:pPr>
        <w:spacing w:after="160" w:line="480" w:lineRule="auto"/>
        <w:contextualSpacing/>
        <w:jc w:val="both"/>
        <w:rPr>
          <w:rFonts w:ascii="Arial" w:hAnsi="Arial" w:cs="Arial"/>
        </w:rPr>
      </w:pPr>
    </w:p>
    <w:p w:rsidR="000539BA" w:rsidRDefault="000539BA" w:rsidP="000539BA">
      <w:pPr>
        <w:spacing w:after="160" w:line="480" w:lineRule="auto"/>
        <w:contextualSpacing/>
        <w:jc w:val="both"/>
        <w:rPr>
          <w:rFonts w:ascii="Arial" w:hAnsi="Arial" w:cs="Arial"/>
        </w:rPr>
      </w:pPr>
      <w:r w:rsidRPr="000B5032">
        <w:rPr>
          <w:rFonts w:ascii="Arial" w:hAnsi="Arial" w:cs="Arial"/>
        </w:rPr>
        <w:t xml:space="preserve">Palabras clave: </w:t>
      </w:r>
      <w:r>
        <w:rPr>
          <w:rFonts w:ascii="Arial" w:hAnsi="Arial" w:cs="Arial"/>
        </w:rPr>
        <w:t>cinematografía, cine histórico, didáctica, educación.</w:t>
      </w:r>
    </w:p>
    <w:p w:rsidR="000539BA" w:rsidRDefault="000539BA" w:rsidP="000539BA">
      <w:pPr>
        <w:spacing w:after="160" w:line="480" w:lineRule="auto"/>
        <w:contextualSpacing/>
        <w:jc w:val="both"/>
        <w:rPr>
          <w:rFonts w:ascii="Arial" w:hAnsi="Arial" w:cs="Arial"/>
        </w:rPr>
      </w:pPr>
    </w:p>
    <w:p w:rsidR="000539BA" w:rsidRDefault="000539BA" w:rsidP="000539BA">
      <w:pPr>
        <w:spacing w:after="160" w:line="480" w:lineRule="auto"/>
        <w:contextualSpacing/>
        <w:jc w:val="both"/>
        <w:rPr>
          <w:rFonts w:ascii="Arial" w:hAnsi="Arial" w:cs="Arial"/>
        </w:rPr>
      </w:pPr>
    </w:p>
    <w:p w:rsidR="00031900" w:rsidRPr="001001C3" w:rsidRDefault="00031900" w:rsidP="00D93F81">
      <w:pPr>
        <w:tabs>
          <w:tab w:val="left" w:pos="1980"/>
        </w:tabs>
        <w:spacing w:after="0" w:line="240" w:lineRule="auto"/>
        <w:rPr>
          <w:rFonts w:ascii="Times New Roman" w:hAnsi="Times New Roman" w:cs="Times New Roman"/>
          <w:b/>
          <w:bCs/>
          <w:sz w:val="24"/>
          <w:szCs w:val="24"/>
        </w:rPr>
      </w:pPr>
      <w:r>
        <w:rPr>
          <w:rFonts w:ascii="Arial" w:hAnsi="Arial" w:cs="Arial"/>
          <w:b/>
          <w:bCs/>
          <w:sz w:val="20"/>
          <w:szCs w:val="20"/>
        </w:rPr>
        <w:tab/>
      </w:r>
    </w:p>
    <w:p w:rsidR="001307F0" w:rsidRPr="001307F0" w:rsidRDefault="001307F0" w:rsidP="001307F0">
      <w:pPr>
        <w:spacing w:line="360" w:lineRule="auto"/>
        <w:rPr>
          <w:rFonts w:ascii="Arial" w:hAnsi="Arial" w:cs="Arial"/>
          <w:b/>
          <w:color w:val="000000" w:themeColor="text1"/>
          <w:sz w:val="24"/>
        </w:rPr>
      </w:pPr>
      <w:r w:rsidRPr="001307F0">
        <w:rPr>
          <w:rFonts w:ascii="Arial" w:hAnsi="Arial" w:cs="Arial"/>
          <w:b/>
          <w:color w:val="000000" w:themeColor="text1"/>
          <w:sz w:val="24"/>
        </w:rPr>
        <w:t>Expertos animados por el cine. El cine como herramienta educativa</w:t>
      </w:r>
    </w:p>
    <w:p w:rsidR="001307F0" w:rsidRPr="00221BFB" w:rsidRDefault="001307F0" w:rsidP="001307F0">
      <w:pPr>
        <w:spacing w:after="0" w:line="360" w:lineRule="auto"/>
        <w:rPr>
          <w:rFonts w:ascii="Arial" w:hAnsi="Arial" w:cs="Arial"/>
          <w:sz w:val="24"/>
        </w:rPr>
      </w:pPr>
      <w:r w:rsidRPr="00221BFB">
        <w:rPr>
          <w:rFonts w:ascii="Arial" w:hAnsi="Arial" w:cs="Arial"/>
          <w:sz w:val="24"/>
        </w:rPr>
        <w:t>Autor:</w:t>
      </w:r>
    </w:p>
    <w:p w:rsidR="001307F0" w:rsidRDefault="001307F0" w:rsidP="001307F0">
      <w:pPr>
        <w:spacing w:line="360" w:lineRule="auto"/>
        <w:rPr>
          <w:rFonts w:ascii="Arial" w:hAnsi="Arial" w:cs="Arial"/>
          <w:sz w:val="24"/>
        </w:rPr>
      </w:pPr>
      <w:r w:rsidRPr="00221BFB">
        <w:rPr>
          <w:rFonts w:ascii="Arial" w:hAnsi="Arial" w:cs="Arial"/>
          <w:sz w:val="24"/>
        </w:rPr>
        <w:t>Mg. Fernando Federico Ruiz Vallejos</w:t>
      </w:r>
    </w:p>
    <w:p w:rsidR="001307F0" w:rsidRPr="00221BFB" w:rsidRDefault="001307F0" w:rsidP="001307F0">
      <w:pPr>
        <w:spacing w:line="360" w:lineRule="auto"/>
        <w:rPr>
          <w:rFonts w:ascii="Arial" w:hAnsi="Arial" w:cs="Arial"/>
          <w:sz w:val="24"/>
        </w:rPr>
      </w:pPr>
    </w:p>
    <w:p w:rsidR="001307F0" w:rsidRPr="00221BFB" w:rsidRDefault="001307F0" w:rsidP="001307F0">
      <w:pPr>
        <w:spacing w:after="0" w:line="360" w:lineRule="auto"/>
        <w:jc w:val="center"/>
        <w:rPr>
          <w:rFonts w:ascii="Arial" w:hAnsi="Arial" w:cs="Arial"/>
          <w:sz w:val="24"/>
        </w:rPr>
      </w:pPr>
      <w:r w:rsidRPr="00221BFB">
        <w:rPr>
          <w:rFonts w:ascii="Arial" w:hAnsi="Arial" w:cs="Arial"/>
          <w:sz w:val="24"/>
        </w:rPr>
        <w:t>Resumen</w:t>
      </w:r>
    </w:p>
    <w:p w:rsidR="001307F0" w:rsidRDefault="001307F0" w:rsidP="001307F0">
      <w:pPr>
        <w:spacing w:line="360" w:lineRule="auto"/>
        <w:jc w:val="both"/>
        <w:rPr>
          <w:rFonts w:ascii="Arial" w:hAnsi="Arial" w:cs="Arial"/>
          <w:sz w:val="24"/>
        </w:rPr>
      </w:pPr>
      <w:r>
        <w:rPr>
          <w:rFonts w:ascii="Arial" w:hAnsi="Arial" w:cs="Arial"/>
          <w:sz w:val="24"/>
        </w:rPr>
        <w:t xml:space="preserve">Este artículo se ha elaborado en base a </w:t>
      </w:r>
      <w:r w:rsidRPr="00221BFB">
        <w:rPr>
          <w:rFonts w:ascii="Arial" w:hAnsi="Arial" w:cs="Arial"/>
          <w:sz w:val="24"/>
        </w:rPr>
        <w:t>la investigación “Percepción pedagógica de dibujos animados: Caso profesores de Educación Primaria de colegios estatales de Lima Metropolitana”. Dicha investigación ha sido realizada en el marco de las actividades del Instituto de Investigación Científica de la Universidad de Lima en el periodo 2014-2015 y su primera parte fue presentada en la ciudad de Medellín en el XV Encuentro Latinoamericano de Facultades de Comunicación Social FELAFACS 2015</w:t>
      </w:r>
      <w:r>
        <w:rPr>
          <w:rFonts w:ascii="Arial" w:hAnsi="Arial" w:cs="Arial"/>
          <w:sz w:val="24"/>
        </w:rPr>
        <w:t xml:space="preserve">. </w:t>
      </w:r>
      <w:r>
        <w:rPr>
          <w:rFonts w:ascii="Arial" w:hAnsi="Arial" w:cs="Arial"/>
          <w:sz w:val="24"/>
        </w:rPr>
        <w:t xml:space="preserve"> Este trabajo se realiza</w:t>
      </w:r>
      <w:r w:rsidRPr="00221BFB">
        <w:rPr>
          <w:rFonts w:ascii="Arial" w:hAnsi="Arial" w:cs="Arial"/>
          <w:sz w:val="24"/>
        </w:rPr>
        <w:t xml:space="preserve"> a partir de la inquietud de conocer cómo desde su especialidad</w:t>
      </w:r>
      <w:r>
        <w:rPr>
          <w:rFonts w:ascii="Arial" w:hAnsi="Arial" w:cs="Arial"/>
          <w:sz w:val="24"/>
        </w:rPr>
        <w:t>, y en</w:t>
      </w:r>
      <w:r w:rsidRPr="00221BFB">
        <w:rPr>
          <w:rFonts w:ascii="Arial" w:hAnsi="Arial" w:cs="Arial"/>
          <w:sz w:val="24"/>
        </w:rPr>
        <w:t xml:space="preserve"> el ámbito educomunicativo</w:t>
      </w:r>
      <w:r>
        <w:rPr>
          <w:rFonts w:ascii="Arial" w:hAnsi="Arial" w:cs="Arial"/>
          <w:sz w:val="24"/>
        </w:rPr>
        <w:t>,</w:t>
      </w:r>
      <w:r w:rsidRPr="00221BFB">
        <w:rPr>
          <w:rFonts w:ascii="Arial" w:hAnsi="Arial" w:cs="Arial"/>
          <w:sz w:val="24"/>
        </w:rPr>
        <w:t xml:space="preserve"> diversos intelectuales aprecian las características de dos propuestas de cine de dibujos animados cultural y estéticamente diferentes.</w:t>
      </w:r>
    </w:p>
    <w:p w:rsidR="001307F0" w:rsidRDefault="001307F0" w:rsidP="001307F0">
      <w:pPr>
        <w:spacing w:after="0" w:line="360" w:lineRule="auto"/>
        <w:jc w:val="both"/>
        <w:rPr>
          <w:rFonts w:ascii="Arial" w:hAnsi="Arial" w:cs="Arial"/>
          <w:sz w:val="24"/>
        </w:rPr>
      </w:pPr>
      <w:r>
        <w:rPr>
          <w:rFonts w:ascii="Arial" w:hAnsi="Arial" w:cs="Arial"/>
          <w:sz w:val="24"/>
        </w:rPr>
        <w:t>Palabras clave:</w:t>
      </w:r>
    </w:p>
    <w:p w:rsidR="00031900" w:rsidRDefault="001307F0" w:rsidP="001307F0">
      <w:pPr>
        <w:spacing w:line="360" w:lineRule="auto"/>
        <w:jc w:val="both"/>
        <w:rPr>
          <w:rFonts w:ascii="Arial" w:hAnsi="Arial" w:cs="Arial"/>
          <w:sz w:val="24"/>
        </w:rPr>
      </w:pPr>
      <w:r>
        <w:rPr>
          <w:rFonts w:ascii="Arial" w:hAnsi="Arial" w:cs="Arial"/>
          <w:sz w:val="24"/>
        </w:rPr>
        <w:t>Percepción, cine, fenomenología, ética, educación, educomun</w:t>
      </w:r>
      <w:r>
        <w:rPr>
          <w:rFonts w:ascii="Arial" w:hAnsi="Arial" w:cs="Arial"/>
          <w:sz w:val="24"/>
        </w:rPr>
        <w:t>i</w:t>
      </w:r>
      <w:r>
        <w:rPr>
          <w:rFonts w:ascii="Arial" w:hAnsi="Arial" w:cs="Arial"/>
          <w:sz w:val="24"/>
        </w:rPr>
        <w:t xml:space="preserve">cación, educación cinematográfica, valores, educación y emoción, sentimientos, estrategias de utilización pedagógica, educación ciudadana, cultura de paz. </w:t>
      </w:r>
    </w:p>
    <w:p w:rsidR="001307F0" w:rsidRDefault="001307F0" w:rsidP="001307F0">
      <w:pPr>
        <w:spacing w:line="360" w:lineRule="auto"/>
        <w:jc w:val="both"/>
        <w:rPr>
          <w:rFonts w:ascii="Arial" w:hAnsi="Arial" w:cs="Arial"/>
          <w:sz w:val="24"/>
        </w:rPr>
      </w:pPr>
    </w:p>
    <w:p w:rsidR="001307F0" w:rsidRPr="00EE4B12" w:rsidRDefault="001307F0" w:rsidP="001307F0">
      <w:pPr>
        <w:pStyle w:val="Sinespaciado"/>
        <w:jc w:val="center"/>
        <w:rPr>
          <w:rFonts w:ascii="Arial" w:hAnsi="Arial" w:cs="Arial"/>
          <w:b/>
          <w:sz w:val="24"/>
          <w:szCs w:val="24"/>
        </w:rPr>
      </w:pPr>
      <w:r w:rsidRPr="00E0678C">
        <w:rPr>
          <w:rFonts w:ascii="Arial" w:hAnsi="Arial" w:cs="Arial"/>
          <w:b/>
          <w:sz w:val="24"/>
          <w:szCs w:val="24"/>
        </w:rPr>
        <w:lastRenderedPageBreak/>
        <w:t>Usos y resultados de las redes sociales como estrategia electoral: análisis del caso de cuatro municipios del Gran Concepción (Chile) en la campaña de 2016</w:t>
      </w:r>
    </w:p>
    <w:p w:rsidR="001307F0" w:rsidRDefault="001307F0" w:rsidP="001307F0">
      <w:pPr>
        <w:pStyle w:val="Sinespaciado"/>
        <w:jc w:val="center"/>
        <w:rPr>
          <w:rFonts w:ascii="Arial" w:hAnsi="Arial" w:cs="Arial"/>
          <w:sz w:val="24"/>
          <w:szCs w:val="24"/>
        </w:rPr>
      </w:pPr>
      <w:r>
        <w:rPr>
          <w:rFonts w:ascii="Arial" w:hAnsi="Arial" w:cs="Arial"/>
          <w:sz w:val="24"/>
          <w:szCs w:val="24"/>
        </w:rPr>
        <w:t xml:space="preserve">Lic. </w:t>
      </w:r>
      <w:r w:rsidRPr="00E0678C">
        <w:rPr>
          <w:rFonts w:ascii="Arial" w:hAnsi="Arial" w:cs="Arial"/>
          <w:sz w:val="24"/>
          <w:szCs w:val="24"/>
        </w:rPr>
        <w:t>Lesly Zurita Arriagada, Universidad Católica de la Santísima Concepción</w:t>
      </w:r>
      <w:r>
        <w:rPr>
          <w:rFonts w:ascii="Arial" w:hAnsi="Arial" w:cs="Arial"/>
          <w:sz w:val="24"/>
          <w:szCs w:val="24"/>
        </w:rPr>
        <w:t xml:space="preserve">, </w:t>
      </w:r>
      <w:hyperlink r:id="rId6" w:history="1">
        <w:r w:rsidRPr="00CC7E27">
          <w:rPr>
            <w:rStyle w:val="Hipervnculo"/>
            <w:rFonts w:ascii="Arial" w:hAnsi="Arial" w:cs="Arial"/>
            <w:sz w:val="24"/>
            <w:szCs w:val="24"/>
          </w:rPr>
          <w:t>lzurita.a@gmail.com</w:t>
        </w:r>
      </w:hyperlink>
    </w:p>
    <w:p w:rsidR="001307F0" w:rsidRPr="00E0678C" w:rsidRDefault="001307F0" w:rsidP="001307F0">
      <w:pPr>
        <w:pStyle w:val="Sinespaciado"/>
        <w:rPr>
          <w:rFonts w:ascii="Arial" w:hAnsi="Arial" w:cs="Arial"/>
          <w:sz w:val="24"/>
          <w:szCs w:val="24"/>
        </w:rPr>
      </w:pPr>
    </w:p>
    <w:p w:rsidR="001307F0" w:rsidRDefault="001307F0" w:rsidP="001307F0">
      <w:pPr>
        <w:pStyle w:val="Sinespaciado"/>
        <w:jc w:val="center"/>
        <w:rPr>
          <w:rFonts w:ascii="Arial" w:hAnsi="Arial" w:cs="Arial"/>
          <w:sz w:val="24"/>
          <w:szCs w:val="24"/>
        </w:rPr>
      </w:pPr>
      <w:r w:rsidRPr="00E0678C">
        <w:rPr>
          <w:rFonts w:ascii="Arial" w:hAnsi="Arial" w:cs="Arial"/>
          <w:sz w:val="24"/>
          <w:szCs w:val="24"/>
        </w:rPr>
        <w:t>Dr. Fernando Gutiérrez Atala, Universidad Católica de la Santísima Concepción</w:t>
      </w:r>
    </w:p>
    <w:p w:rsidR="001307F0" w:rsidRDefault="001307F0" w:rsidP="001307F0">
      <w:pPr>
        <w:pStyle w:val="Sinespaciado"/>
        <w:jc w:val="center"/>
        <w:rPr>
          <w:rStyle w:val="Hipervnculo"/>
          <w:rFonts w:ascii="Arial" w:hAnsi="Arial" w:cs="Arial"/>
          <w:sz w:val="24"/>
          <w:szCs w:val="24"/>
        </w:rPr>
      </w:pPr>
      <w:hyperlink r:id="rId7" w:history="1">
        <w:r w:rsidRPr="00E0678C">
          <w:rPr>
            <w:rStyle w:val="Hipervnculo"/>
            <w:rFonts w:ascii="Arial" w:hAnsi="Arial" w:cs="Arial"/>
            <w:sz w:val="24"/>
            <w:szCs w:val="24"/>
          </w:rPr>
          <w:t>fgutierrez@ucsc.cl</w:t>
        </w:r>
      </w:hyperlink>
    </w:p>
    <w:p w:rsidR="001307F0" w:rsidRPr="00E0678C" w:rsidRDefault="001307F0" w:rsidP="001307F0">
      <w:pPr>
        <w:pStyle w:val="Sinespaciado"/>
        <w:jc w:val="center"/>
        <w:rPr>
          <w:rFonts w:ascii="Arial" w:hAnsi="Arial" w:cs="Arial"/>
          <w:sz w:val="24"/>
          <w:szCs w:val="24"/>
        </w:rPr>
      </w:pPr>
    </w:p>
    <w:p w:rsidR="001307F0" w:rsidRDefault="001307F0" w:rsidP="001307F0">
      <w:pPr>
        <w:spacing w:line="360" w:lineRule="auto"/>
        <w:jc w:val="center"/>
        <w:rPr>
          <w:rFonts w:ascii="Arial" w:hAnsi="Arial" w:cs="Arial"/>
          <w:b/>
          <w:sz w:val="24"/>
          <w:szCs w:val="24"/>
        </w:rPr>
      </w:pPr>
    </w:p>
    <w:p w:rsidR="001307F0" w:rsidRDefault="001307F0" w:rsidP="001307F0">
      <w:pPr>
        <w:spacing w:line="360" w:lineRule="auto"/>
        <w:jc w:val="center"/>
        <w:rPr>
          <w:rFonts w:ascii="Arial" w:hAnsi="Arial" w:cs="Arial"/>
          <w:b/>
          <w:sz w:val="24"/>
          <w:szCs w:val="24"/>
        </w:rPr>
      </w:pPr>
      <w:r>
        <w:rPr>
          <w:rFonts w:ascii="Arial" w:hAnsi="Arial" w:cs="Arial"/>
          <w:b/>
          <w:sz w:val="24"/>
          <w:szCs w:val="24"/>
        </w:rPr>
        <w:t>Resumen</w:t>
      </w:r>
    </w:p>
    <w:p w:rsidR="001307F0" w:rsidRPr="00BA7D62" w:rsidRDefault="001307F0" w:rsidP="001307F0">
      <w:pPr>
        <w:spacing w:line="360" w:lineRule="auto"/>
        <w:jc w:val="both"/>
        <w:rPr>
          <w:rFonts w:ascii="Arial" w:hAnsi="Arial" w:cs="Arial"/>
          <w:sz w:val="24"/>
          <w:szCs w:val="24"/>
        </w:rPr>
      </w:pPr>
      <w:r>
        <w:rPr>
          <w:rFonts w:ascii="Arial" w:hAnsi="Arial" w:cs="Arial"/>
          <w:sz w:val="24"/>
          <w:szCs w:val="24"/>
        </w:rPr>
        <w:t xml:space="preserve"> El proceso de desafección </w:t>
      </w:r>
      <w:r w:rsidRPr="00BA7D62">
        <w:rPr>
          <w:rFonts w:ascii="Arial" w:hAnsi="Arial" w:cs="Arial"/>
          <w:sz w:val="24"/>
          <w:szCs w:val="24"/>
        </w:rPr>
        <w:t xml:space="preserve">que vive la </w:t>
      </w:r>
      <w:r>
        <w:rPr>
          <w:rFonts w:ascii="Arial" w:hAnsi="Arial" w:cs="Arial"/>
          <w:sz w:val="24"/>
          <w:szCs w:val="24"/>
        </w:rPr>
        <w:t xml:space="preserve">actividad </w:t>
      </w:r>
      <w:r w:rsidRPr="00BA7D62">
        <w:rPr>
          <w:rFonts w:ascii="Arial" w:hAnsi="Arial" w:cs="Arial"/>
          <w:sz w:val="24"/>
          <w:szCs w:val="24"/>
        </w:rPr>
        <w:t>política</w:t>
      </w:r>
      <w:r>
        <w:rPr>
          <w:rFonts w:ascii="Arial" w:hAnsi="Arial" w:cs="Arial"/>
          <w:sz w:val="24"/>
          <w:szCs w:val="24"/>
        </w:rPr>
        <w:t xml:space="preserve"> en Chile</w:t>
      </w:r>
      <w:r w:rsidRPr="00BA7D62">
        <w:rPr>
          <w:rFonts w:ascii="Arial" w:hAnsi="Arial" w:cs="Arial"/>
          <w:sz w:val="24"/>
          <w:szCs w:val="24"/>
        </w:rPr>
        <w:t xml:space="preserve"> y las modificaciones </w:t>
      </w:r>
      <w:r>
        <w:rPr>
          <w:rFonts w:ascii="Arial" w:hAnsi="Arial" w:cs="Arial"/>
          <w:sz w:val="24"/>
          <w:szCs w:val="24"/>
        </w:rPr>
        <w:t>legales realizadas a la propaganda electoral y a</w:t>
      </w:r>
      <w:r w:rsidRPr="00BA7D62">
        <w:rPr>
          <w:rFonts w:ascii="Arial" w:hAnsi="Arial" w:cs="Arial"/>
          <w:sz w:val="24"/>
          <w:szCs w:val="24"/>
        </w:rPr>
        <w:t>l financiamiento de las campañas</w:t>
      </w:r>
      <w:r>
        <w:rPr>
          <w:rFonts w:ascii="Arial" w:hAnsi="Arial" w:cs="Arial"/>
          <w:sz w:val="24"/>
          <w:szCs w:val="24"/>
        </w:rPr>
        <w:t xml:space="preserve"> en el país, generó que partidos y candidatos vieran </w:t>
      </w:r>
      <w:r w:rsidRPr="00BA7D62">
        <w:rPr>
          <w:rFonts w:ascii="Arial" w:hAnsi="Arial" w:cs="Arial"/>
          <w:sz w:val="24"/>
          <w:szCs w:val="24"/>
        </w:rPr>
        <w:t xml:space="preserve">en las redes sociales una oportunidad de </w:t>
      </w:r>
      <w:r>
        <w:rPr>
          <w:rFonts w:ascii="Arial" w:hAnsi="Arial" w:cs="Arial"/>
          <w:sz w:val="24"/>
          <w:szCs w:val="24"/>
        </w:rPr>
        <w:t xml:space="preserve">difusión y propaganda a través de Internet. Sin embargo, la práctica demuestra que, pese a su trascendencia manifiesta, la actividad aún no exhibe ribetes de profesionalización. </w:t>
      </w:r>
      <w:r w:rsidRPr="00BA7D62">
        <w:rPr>
          <w:rFonts w:ascii="Arial" w:hAnsi="Arial" w:cs="Arial"/>
          <w:sz w:val="24"/>
          <w:szCs w:val="24"/>
        </w:rPr>
        <w:t>Esta investigación</w:t>
      </w:r>
      <w:r>
        <w:rPr>
          <w:rFonts w:ascii="Arial" w:hAnsi="Arial" w:cs="Arial"/>
          <w:sz w:val="24"/>
          <w:szCs w:val="24"/>
        </w:rPr>
        <w:t xml:space="preserve"> de carácter explicativo grafica </w:t>
      </w:r>
      <w:r w:rsidRPr="00BA7D62">
        <w:rPr>
          <w:rFonts w:ascii="Arial" w:hAnsi="Arial" w:cs="Arial"/>
          <w:sz w:val="24"/>
          <w:szCs w:val="24"/>
        </w:rPr>
        <w:t>el uso de las plataformas digitales</w:t>
      </w:r>
      <w:r>
        <w:rPr>
          <w:rFonts w:ascii="Arial" w:hAnsi="Arial" w:cs="Arial"/>
          <w:sz w:val="24"/>
          <w:szCs w:val="24"/>
        </w:rPr>
        <w:t xml:space="preserve"> específicamente en cuatro ciudades chilenas en la elección municipal de 2016, para a partir de allí, generar una reflexión crítica en torno al rol del periodista y </w:t>
      </w:r>
      <w:r w:rsidRPr="00BA7D62">
        <w:rPr>
          <w:rFonts w:ascii="Arial" w:hAnsi="Arial" w:cs="Arial"/>
          <w:sz w:val="24"/>
          <w:szCs w:val="24"/>
        </w:rPr>
        <w:t>com</w:t>
      </w:r>
      <w:r>
        <w:rPr>
          <w:rFonts w:ascii="Arial" w:hAnsi="Arial" w:cs="Arial"/>
          <w:sz w:val="24"/>
          <w:szCs w:val="24"/>
        </w:rPr>
        <w:t>unicador social en el diseño de estrategias comunicacionales pertinentes en la actividad electoral.</w:t>
      </w:r>
    </w:p>
    <w:p w:rsidR="001307F0" w:rsidRDefault="001307F0" w:rsidP="001307F0">
      <w:pPr>
        <w:spacing w:line="360" w:lineRule="auto"/>
        <w:jc w:val="both"/>
        <w:rPr>
          <w:rFonts w:ascii="Arial" w:hAnsi="Arial" w:cs="Arial"/>
          <w:i/>
          <w:sz w:val="24"/>
          <w:szCs w:val="24"/>
        </w:rPr>
      </w:pPr>
      <w:r w:rsidRPr="00BA7D62">
        <w:rPr>
          <w:rFonts w:ascii="Arial" w:hAnsi="Arial" w:cs="Arial"/>
          <w:i/>
          <w:sz w:val="24"/>
          <w:szCs w:val="24"/>
        </w:rPr>
        <w:t xml:space="preserve">Palabras Clave: </w:t>
      </w:r>
      <w:r>
        <w:rPr>
          <w:rFonts w:ascii="Arial" w:hAnsi="Arial" w:cs="Arial"/>
          <w:i/>
          <w:sz w:val="24"/>
          <w:szCs w:val="24"/>
        </w:rPr>
        <w:t>redes sociales, elecciones, campañas electorales, propaganda electoral, periodistas.</w:t>
      </w: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Default="001307F0" w:rsidP="001307F0">
      <w:pPr>
        <w:spacing w:line="360" w:lineRule="auto"/>
        <w:jc w:val="both"/>
        <w:rPr>
          <w:rFonts w:ascii="Arial" w:hAnsi="Arial" w:cs="Arial"/>
          <w:sz w:val="24"/>
        </w:rPr>
      </w:pPr>
    </w:p>
    <w:p w:rsidR="001307F0" w:rsidRPr="00DA6519" w:rsidRDefault="001307F0" w:rsidP="001307F0">
      <w:pPr>
        <w:pStyle w:val="Default"/>
        <w:spacing w:line="360" w:lineRule="auto"/>
        <w:jc w:val="center"/>
        <w:rPr>
          <w:rFonts w:ascii="Arial" w:hAnsi="Arial" w:cs="Arial"/>
        </w:rPr>
      </w:pPr>
      <w:r w:rsidRPr="00DA6519">
        <w:rPr>
          <w:rFonts w:ascii="Arial" w:hAnsi="Arial" w:cs="Arial"/>
          <w:b/>
          <w:bCs/>
        </w:rPr>
        <w:t>ESTEREOTIPOS Y AUTOPERCEPCIÓN DE LAS PERSONAS ADULTAS MAYORES EN LA TELEVISIÓN NACIONAL PERUANA, 2016</w:t>
      </w:r>
    </w:p>
    <w:p w:rsidR="001307F0" w:rsidRPr="00DA6519" w:rsidRDefault="001307F0" w:rsidP="001307F0">
      <w:pPr>
        <w:pStyle w:val="Default"/>
        <w:spacing w:line="360" w:lineRule="auto"/>
        <w:jc w:val="right"/>
        <w:rPr>
          <w:rFonts w:ascii="Arial" w:hAnsi="Arial" w:cs="Arial"/>
          <w:i/>
          <w:iCs/>
        </w:rPr>
      </w:pPr>
    </w:p>
    <w:p w:rsidR="001307F0" w:rsidRPr="00DA6519" w:rsidRDefault="001307F0" w:rsidP="001307F0">
      <w:pPr>
        <w:pStyle w:val="Default"/>
        <w:spacing w:line="360" w:lineRule="auto"/>
        <w:jc w:val="right"/>
        <w:rPr>
          <w:rFonts w:ascii="Arial" w:hAnsi="Arial" w:cs="Arial"/>
          <w:i/>
          <w:iCs/>
        </w:rPr>
      </w:pPr>
      <w:r w:rsidRPr="00DA6519">
        <w:rPr>
          <w:rFonts w:ascii="Arial" w:hAnsi="Arial" w:cs="Arial"/>
          <w:i/>
          <w:iCs/>
        </w:rPr>
        <w:t>Luis Rolando Alarcón Llontop, doctor</w:t>
      </w:r>
    </w:p>
    <w:p w:rsidR="001307F0" w:rsidRPr="00DA6519" w:rsidRDefault="001307F0" w:rsidP="001307F0">
      <w:pPr>
        <w:pStyle w:val="Default"/>
        <w:spacing w:line="360" w:lineRule="auto"/>
        <w:rPr>
          <w:rFonts w:ascii="Arial" w:hAnsi="Arial" w:cs="Arial"/>
          <w:b/>
          <w:bCs/>
        </w:rPr>
      </w:pPr>
    </w:p>
    <w:p w:rsidR="001307F0" w:rsidRPr="00DA6519" w:rsidRDefault="001307F0" w:rsidP="001307F0">
      <w:pPr>
        <w:pStyle w:val="Default"/>
        <w:spacing w:line="360" w:lineRule="auto"/>
        <w:jc w:val="center"/>
        <w:rPr>
          <w:rFonts w:ascii="Arial" w:hAnsi="Arial" w:cs="Arial"/>
        </w:rPr>
      </w:pPr>
      <w:r w:rsidRPr="00DA6519">
        <w:rPr>
          <w:rFonts w:ascii="Arial" w:hAnsi="Arial" w:cs="Arial"/>
          <w:b/>
          <w:bCs/>
        </w:rPr>
        <w:t>Resumen</w:t>
      </w:r>
    </w:p>
    <w:p w:rsidR="001307F0" w:rsidRPr="00DA6519" w:rsidRDefault="001307F0" w:rsidP="001307F0">
      <w:pPr>
        <w:pStyle w:val="Default"/>
        <w:spacing w:line="360" w:lineRule="auto"/>
        <w:jc w:val="both"/>
        <w:rPr>
          <w:rFonts w:ascii="Arial" w:hAnsi="Arial" w:cs="Arial"/>
          <w:iCs/>
        </w:rPr>
      </w:pPr>
      <w:r w:rsidRPr="00DA6519">
        <w:rPr>
          <w:rFonts w:ascii="Arial" w:hAnsi="Arial" w:cs="Arial"/>
          <w:iCs/>
        </w:rPr>
        <w:t xml:space="preserve">Ante la ausencia de estudios exhaustivos que cruzaran televisión nacional y personas adultas mayores (PAM), se analizó sus estereotipos en los programas de ficción en la Televisión (TV) peruana y su autopercepción. Desde el paradigma naturalista, metodología cualitativa y uso de tipologías hermenéutica clásica y fenomenológica, se aplicó sobre dos poblaciones, 1) programas de ficción, y 2) PAM de Chiclayo, Piura y Trujillo, las técnicas de observación (con fichas </w:t>
      </w:r>
      <w:r w:rsidRPr="00DA6519">
        <w:rPr>
          <w:rFonts w:ascii="Arial" w:hAnsi="Arial" w:cs="Arial"/>
          <w:i/>
          <w:iCs/>
        </w:rPr>
        <w:t>per se</w:t>
      </w:r>
      <w:r w:rsidRPr="00DA6519">
        <w:rPr>
          <w:rFonts w:ascii="Arial" w:hAnsi="Arial" w:cs="Arial"/>
          <w:iCs/>
        </w:rPr>
        <w:t>) y grupos focales (con guía de preguntas). Se concluyó que se manejan varios estereotipos de PAM en la TV de ficción nacional; y frente a ello las PAM entrevistadas tienen sentimientos encontrados; y desearían reflejarse dignas, capaces de superar conflictos, hermanadas entre sí, gozando de su familia, y pudiendo ser felices.</w:t>
      </w:r>
    </w:p>
    <w:p w:rsidR="001307F0" w:rsidRPr="00DA6519" w:rsidRDefault="001307F0" w:rsidP="001307F0">
      <w:pPr>
        <w:pStyle w:val="Default"/>
        <w:spacing w:line="360" w:lineRule="auto"/>
        <w:jc w:val="both"/>
        <w:rPr>
          <w:rFonts w:ascii="Arial" w:hAnsi="Arial" w:cs="Arial"/>
          <w:iCs/>
        </w:rPr>
      </w:pPr>
    </w:p>
    <w:p w:rsidR="001307F0" w:rsidRPr="00DA6519" w:rsidRDefault="001307F0" w:rsidP="001307F0">
      <w:pPr>
        <w:pStyle w:val="Default"/>
        <w:rPr>
          <w:rFonts w:ascii="Arial" w:hAnsi="Arial" w:cs="Arial"/>
          <w:b/>
          <w:bCs/>
        </w:rPr>
      </w:pPr>
      <w:r w:rsidRPr="00DA6519">
        <w:rPr>
          <w:rFonts w:ascii="Arial" w:hAnsi="Arial" w:cs="Arial"/>
          <w:b/>
          <w:bCs/>
        </w:rPr>
        <w:t>Palabras claves</w:t>
      </w:r>
    </w:p>
    <w:p w:rsidR="001307F0" w:rsidRDefault="001307F0" w:rsidP="001307F0">
      <w:pPr>
        <w:pStyle w:val="Default"/>
        <w:jc w:val="both"/>
        <w:rPr>
          <w:rFonts w:ascii="Arial" w:hAnsi="Arial" w:cs="Arial"/>
          <w:iCs/>
        </w:rPr>
      </w:pPr>
      <w:r w:rsidRPr="00DA6519">
        <w:rPr>
          <w:rFonts w:ascii="Arial" w:hAnsi="Arial" w:cs="Arial"/>
          <w:iCs/>
        </w:rPr>
        <w:t xml:space="preserve">Personas adultas mayores (PAM), estereotipos, medios, televisión (TV), programas de ficción televisiva. </w:t>
      </w: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DD4FF2" w:rsidRDefault="00DD4FF2" w:rsidP="001307F0">
      <w:pPr>
        <w:pStyle w:val="Default"/>
        <w:jc w:val="both"/>
        <w:rPr>
          <w:rFonts w:ascii="Arial" w:hAnsi="Arial" w:cs="Arial"/>
          <w:iCs/>
        </w:rPr>
      </w:pPr>
    </w:p>
    <w:p w:rsidR="00DD4FF2" w:rsidRDefault="00DD4FF2" w:rsidP="001307F0">
      <w:pPr>
        <w:pStyle w:val="Default"/>
        <w:jc w:val="both"/>
        <w:rPr>
          <w:rFonts w:ascii="Arial" w:hAnsi="Arial" w:cs="Arial"/>
          <w:iCs/>
        </w:rPr>
      </w:pPr>
    </w:p>
    <w:p w:rsidR="00DD4FF2" w:rsidRDefault="00DD4FF2" w:rsidP="001307F0">
      <w:pPr>
        <w:pStyle w:val="Default"/>
        <w:jc w:val="both"/>
        <w:rPr>
          <w:rFonts w:ascii="Arial" w:hAnsi="Arial" w:cs="Arial"/>
          <w:iCs/>
        </w:rPr>
      </w:pPr>
      <w:bookmarkStart w:id="0" w:name="_GoBack"/>
      <w:bookmarkEnd w:id="0"/>
    </w:p>
    <w:p w:rsidR="001307F0" w:rsidRDefault="001307F0" w:rsidP="001307F0">
      <w:pPr>
        <w:pStyle w:val="Default"/>
        <w:jc w:val="both"/>
        <w:rPr>
          <w:rFonts w:ascii="Arial" w:hAnsi="Arial" w:cs="Arial"/>
          <w:iCs/>
        </w:rPr>
      </w:pPr>
    </w:p>
    <w:p w:rsidR="001307F0" w:rsidRDefault="001307F0" w:rsidP="001307F0">
      <w:pPr>
        <w:pStyle w:val="Default"/>
        <w:jc w:val="both"/>
        <w:rPr>
          <w:rFonts w:ascii="Arial" w:hAnsi="Arial" w:cs="Arial"/>
          <w:iCs/>
        </w:rPr>
      </w:pPr>
    </w:p>
    <w:p w:rsidR="001307F0" w:rsidRDefault="001307F0" w:rsidP="001307F0">
      <w:pPr>
        <w:pStyle w:val="Default"/>
        <w:spacing w:line="480" w:lineRule="auto"/>
        <w:jc w:val="center"/>
        <w:rPr>
          <w:b/>
          <w:bCs/>
          <w:color w:val="auto"/>
          <w:sz w:val="28"/>
          <w:szCs w:val="28"/>
        </w:rPr>
      </w:pPr>
      <w:r w:rsidRPr="00A3744D">
        <w:rPr>
          <w:b/>
          <w:bCs/>
          <w:color w:val="auto"/>
          <w:sz w:val="28"/>
          <w:szCs w:val="28"/>
        </w:rPr>
        <w:t>EXPRESIÓN DEL GRAFITI EN EL ESPACIO URBANO DE LIMA</w:t>
      </w:r>
    </w:p>
    <w:p w:rsidR="001307F0" w:rsidRPr="00863339" w:rsidRDefault="001307F0" w:rsidP="001307F0">
      <w:pPr>
        <w:pStyle w:val="Default"/>
        <w:spacing w:after="8" w:line="480" w:lineRule="auto"/>
        <w:jc w:val="both"/>
        <w:rPr>
          <w:bCs/>
          <w:color w:val="auto"/>
          <w:sz w:val="22"/>
          <w:szCs w:val="22"/>
        </w:rPr>
      </w:pPr>
      <w:r w:rsidRPr="00863339">
        <w:rPr>
          <w:bCs/>
          <w:color w:val="auto"/>
          <w:sz w:val="22"/>
          <w:szCs w:val="22"/>
        </w:rPr>
        <w:t xml:space="preserve">Luis Cumpa González.  </w:t>
      </w:r>
    </w:p>
    <w:p w:rsidR="001307F0" w:rsidRPr="00BE22A2" w:rsidRDefault="001307F0" w:rsidP="001307F0">
      <w:pPr>
        <w:pStyle w:val="Default"/>
        <w:spacing w:after="8"/>
        <w:rPr>
          <w:color w:val="auto"/>
          <w:sz w:val="23"/>
          <w:szCs w:val="23"/>
        </w:rPr>
      </w:pPr>
    </w:p>
    <w:p w:rsidR="001307F0" w:rsidRDefault="001307F0" w:rsidP="001307F0">
      <w:pPr>
        <w:pStyle w:val="Default"/>
        <w:rPr>
          <w:color w:val="auto"/>
          <w:sz w:val="23"/>
          <w:szCs w:val="23"/>
        </w:rPr>
      </w:pPr>
    </w:p>
    <w:p w:rsidR="001307F0" w:rsidRDefault="001307F0" w:rsidP="001307F0">
      <w:pPr>
        <w:pStyle w:val="Default"/>
        <w:rPr>
          <w:color w:val="auto"/>
          <w:sz w:val="23"/>
          <w:szCs w:val="23"/>
        </w:rPr>
      </w:pPr>
    </w:p>
    <w:p w:rsidR="001307F0" w:rsidRPr="00BE22A2" w:rsidRDefault="001307F0" w:rsidP="001307F0">
      <w:pPr>
        <w:pStyle w:val="Default"/>
        <w:rPr>
          <w:color w:val="auto"/>
          <w:sz w:val="23"/>
          <w:szCs w:val="23"/>
        </w:rPr>
      </w:pPr>
      <w:r w:rsidRPr="00BE22A2">
        <w:rPr>
          <w:b/>
          <w:bCs/>
          <w:color w:val="auto"/>
          <w:sz w:val="23"/>
          <w:szCs w:val="23"/>
        </w:rPr>
        <w:t xml:space="preserve">Resumen </w:t>
      </w:r>
    </w:p>
    <w:p w:rsidR="001307F0" w:rsidRPr="00BE22A2" w:rsidRDefault="001307F0" w:rsidP="001307F0">
      <w:pPr>
        <w:spacing w:before="100" w:beforeAutospacing="1" w:after="100" w:afterAutospacing="1" w:line="480" w:lineRule="auto"/>
        <w:jc w:val="both"/>
        <w:rPr>
          <w:rFonts w:ascii="Arial" w:hAnsi="Arial" w:cs="Arial"/>
          <w:lang w:eastAsia="es-PE"/>
        </w:rPr>
      </w:pPr>
      <w:r w:rsidRPr="00BE22A2">
        <w:rPr>
          <w:rFonts w:ascii="Arial" w:hAnsi="Arial" w:cs="Arial"/>
          <w:lang w:eastAsia="es-PE"/>
        </w:rPr>
        <w:t>Este estudio desarrolla un recorrido por el escenario urbano de cinco lugares de Lima con por lo menos dos características socioeconómicas y contextos culturales distintos. Aborda inicialmente los orígenes, tipos y formas expresivas del grafiti, el significado de esta expresión en los distintos escenarios. Desarrolla los elementos básicos de la comunicación: el texto y la imagen como componentes básicos de su lenguaje gráfico. La identificación de la escritura y la pintura como los enlaces de su futura derivación a un lenguaje plástico – estético, elementos que progresivamente han ido convirtiéndose en el hilo conductor de la configuración estética de esta expresión. El hecho de que estas expresiones se presenten en escenarios socioeconó</w:t>
      </w:r>
      <w:r>
        <w:rPr>
          <w:rFonts w:ascii="Arial" w:hAnsi="Arial" w:cs="Arial"/>
          <w:lang w:eastAsia="es-PE"/>
        </w:rPr>
        <w:t>micos</w:t>
      </w:r>
      <w:r w:rsidRPr="00BE22A2">
        <w:rPr>
          <w:rFonts w:ascii="Arial" w:hAnsi="Arial" w:cs="Arial"/>
          <w:lang w:eastAsia="es-PE"/>
        </w:rPr>
        <w:t xml:space="preserve"> contrastados implica, por lo menos, una reflexión que conduzca a la búsqueda de significados más allá de lo visual. Voltear la mirada a distritos de clase social muy diferenciadas y espacios culturalmente diversos ha permitido una observación menos subjetiva de este fenómeno visual.</w:t>
      </w:r>
    </w:p>
    <w:p w:rsidR="001307F0" w:rsidRPr="00BE22A2" w:rsidRDefault="001307F0" w:rsidP="001307F0">
      <w:pPr>
        <w:pStyle w:val="Default"/>
        <w:rPr>
          <w:color w:val="auto"/>
          <w:sz w:val="23"/>
          <w:szCs w:val="23"/>
        </w:rPr>
      </w:pPr>
      <w:r w:rsidRPr="00BE22A2">
        <w:rPr>
          <w:b/>
          <w:bCs/>
          <w:color w:val="auto"/>
          <w:sz w:val="23"/>
          <w:szCs w:val="23"/>
        </w:rPr>
        <w:t xml:space="preserve">Palabras Claves </w:t>
      </w:r>
    </w:p>
    <w:p w:rsidR="001307F0" w:rsidRPr="00BE22A2" w:rsidRDefault="001307F0" w:rsidP="001307F0">
      <w:pPr>
        <w:pStyle w:val="Default"/>
        <w:rPr>
          <w:color w:val="auto"/>
          <w:sz w:val="23"/>
          <w:szCs w:val="23"/>
        </w:rPr>
      </w:pPr>
    </w:p>
    <w:p w:rsidR="001307F0" w:rsidRDefault="001307F0" w:rsidP="001307F0">
      <w:pPr>
        <w:pStyle w:val="Default"/>
        <w:rPr>
          <w:color w:val="auto"/>
          <w:sz w:val="23"/>
          <w:szCs w:val="23"/>
        </w:rPr>
      </w:pPr>
      <w:r w:rsidRPr="00BE22A2">
        <w:rPr>
          <w:color w:val="auto"/>
          <w:sz w:val="23"/>
          <w:szCs w:val="23"/>
        </w:rPr>
        <w:t>Grafiti, semiótica, intervenciones urbanas, expresiones visuales.</w:t>
      </w:r>
    </w:p>
    <w:p w:rsidR="001307F0" w:rsidRDefault="001307F0" w:rsidP="001307F0">
      <w:pPr>
        <w:pStyle w:val="Default"/>
        <w:rPr>
          <w:color w:val="auto"/>
          <w:sz w:val="23"/>
          <w:szCs w:val="23"/>
        </w:rPr>
      </w:pPr>
    </w:p>
    <w:p w:rsidR="001307F0" w:rsidRDefault="001307F0" w:rsidP="001307F0">
      <w:pPr>
        <w:pStyle w:val="Default"/>
        <w:rPr>
          <w:color w:val="auto"/>
          <w:sz w:val="23"/>
          <w:szCs w:val="23"/>
        </w:rPr>
      </w:pPr>
    </w:p>
    <w:p w:rsidR="001307F0" w:rsidRDefault="001307F0" w:rsidP="001307F0">
      <w:pPr>
        <w:pStyle w:val="Default"/>
        <w:jc w:val="both"/>
        <w:rPr>
          <w:rFonts w:ascii="Arial" w:hAnsi="Arial" w:cs="Arial"/>
          <w:iCs/>
        </w:rPr>
      </w:pPr>
    </w:p>
    <w:p w:rsidR="001307F0" w:rsidRPr="001307F0" w:rsidRDefault="001307F0" w:rsidP="001307F0">
      <w:pPr>
        <w:spacing w:line="360" w:lineRule="auto"/>
        <w:jc w:val="both"/>
        <w:rPr>
          <w:rFonts w:ascii="Arial" w:hAnsi="Arial" w:cs="Arial"/>
          <w:sz w:val="24"/>
        </w:rPr>
      </w:pPr>
    </w:p>
    <w:sectPr w:rsidR="001307F0" w:rsidRPr="001307F0" w:rsidSect="00BC3F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28E" w:rsidRDefault="0089528E" w:rsidP="001307F0">
      <w:pPr>
        <w:spacing w:after="0" w:line="240" w:lineRule="auto"/>
      </w:pPr>
      <w:r>
        <w:separator/>
      </w:r>
    </w:p>
  </w:endnote>
  <w:endnote w:type="continuationSeparator" w:id="0">
    <w:p w:rsidR="0089528E" w:rsidRDefault="0089528E" w:rsidP="001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28E" w:rsidRDefault="0089528E" w:rsidP="001307F0">
      <w:pPr>
        <w:spacing w:after="0" w:line="240" w:lineRule="auto"/>
      </w:pPr>
      <w:r>
        <w:separator/>
      </w:r>
    </w:p>
  </w:footnote>
  <w:footnote w:type="continuationSeparator" w:id="0">
    <w:p w:rsidR="0089528E" w:rsidRDefault="0089528E" w:rsidP="00130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81"/>
    <w:rsid w:val="00021750"/>
    <w:rsid w:val="00031900"/>
    <w:rsid w:val="000539BA"/>
    <w:rsid w:val="00060FC7"/>
    <w:rsid w:val="00067E5C"/>
    <w:rsid w:val="000A1AAA"/>
    <w:rsid w:val="000C306F"/>
    <w:rsid w:val="001001C3"/>
    <w:rsid w:val="001307F0"/>
    <w:rsid w:val="0018067F"/>
    <w:rsid w:val="001C687A"/>
    <w:rsid w:val="00230E1D"/>
    <w:rsid w:val="004075AB"/>
    <w:rsid w:val="004A428D"/>
    <w:rsid w:val="0050675D"/>
    <w:rsid w:val="00551483"/>
    <w:rsid w:val="00581219"/>
    <w:rsid w:val="00603CF1"/>
    <w:rsid w:val="00627E8B"/>
    <w:rsid w:val="00670536"/>
    <w:rsid w:val="00701240"/>
    <w:rsid w:val="00721235"/>
    <w:rsid w:val="00790707"/>
    <w:rsid w:val="00820329"/>
    <w:rsid w:val="0089528E"/>
    <w:rsid w:val="008F7175"/>
    <w:rsid w:val="00902218"/>
    <w:rsid w:val="00A33395"/>
    <w:rsid w:val="00BC3F4D"/>
    <w:rsid w:val="00BF7250"/>
    <w:rsid w:val="00CA0F0C"/>
    <w:rsid w:val="00D44E60"/>
    <w:rsid w:val="00D93F81"/>
    <w:rsid w:val="00DD4FF2"/>
    <w:rsid w:val="00DE0A37"/>
    <w:rsid w:val="00DE5924"/>
    <w:rsid w:val="00E97F0B"/>
    <w:rsid w:val="00FB3471"/>
    <w:rsid w:val="00FD31F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F23779-048D-4011-8D25-129D6E6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4D"/>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uiPriority w:val="99"/>
    <w:rsid w:val="00D93F81"/>
  </w:style>
  <w:style w:type="character" w:styleId="Hipervnculo">
    <w:name w:val="Hyperlink"/>
    <w:basedOn w:val="Fuentedeprrafopredeter"/>
    <w:uiPriority w:val="99"/>
    <w:rsid w:val="00D93F81"/>
    <w:rPr>
      <w:color w:val="0000FF"/>
      <w:u w:val="single"/>
    </w:rPr>
  </w:style>
  <w:style w:type="paragraph" w:styleId="Puesto">
    <w:name w:val="Title"/>
    <w:basedOn w:val="Normal"/>
    <w:link w:val="PuestoCar"/>
    <w:qFormat/>
    <w:rsid w:val="00D93F81"/>
    <w:pPr>
      <w:spacing w:after="0" w:line="240" w:lineRule="auto"/>
      <w:jc w:val="center"/>
    </w:pPr>
    <w:rPr>
      <w:rFonts w:ascii="Arial" w:hAnsi="Arial" w:cs="Arial"/>
      <w:b/>
      <w:bCs/>
      <w:color w:val="0000FF"/>
      <w:sz w:val="24"/>
      <w:szCs w:val="24"/>
      <w:u w:val="single"/>
      <w:lang w:val="es-MX" w:eastAsia="es-MX"/>
    </w:rPr>
  </w:style>
  <w:style w:type="character" w:customStyle="1" w:styleId="PuestoCar">
    <w:name w:val="Puesto Car"/>
    <w:basedOn w:val="Fuentedeprrafopredeter"/>
    <w:link w:val="Puesto"/>
    <w:uiPriority w:val="99"/>
    <w:locked/>
    <w:rsid w:val="00D93F81"/>
    <w:rPr>
      <w:rFonts w:ascii="Arial" w:eastAsia="Times New Roman" w:hAnsi="Arial" w:cs="Arial"/>
      <w:b/>
      <w:bCs/>
      <w:color w:val="0000FF"/>
      <w:sz w:val="24"/>
      <w:szCs w:val="24"/>
      <w:u w:val="single"/>
      <w:lang w:val="es-MX" w:eastAsia="es-MX"/>
    </w:rPr>
  </w:style>
  <w:style w:type="paragraph" w:styleId="Textonotapie">
    <w:name w:val="footnote text"/>
    <w:basedOn w:val="Normal"/>
    <w:link w:val="TextonotapieCar"/>
    <w:uiPriority w:val="99"/>
    <w:semiHidden/>
    <w:unhideWhenUsed/>
    <w:rsid w:val="001307F0"/>
    <w:pPr>
      <w:spacing w:after="0" w:line="240" w:lineRule="auto"/>
    </w:pPr>
    <w:rPr>
      <w:rFonts w:cs="Times New Roman"/>
      <w:sz w:val="20"/>
      <w:szCs w:val="20"/>
    </w:rPr>
  </w:style>
  <w:style w:type="character" w:customStyle="1" w:styleId="TextonotapieCar">
    <w:name w:val="Texto nota pie Car"/>
    <w:basedOn w:val="Fuentedeprrafopredeter"/>
    <w:link w:val="Textonotapie"/>
    <w:uiPriority w:val="99"/>
    <w:semiHidden/>
    <w:rsid w:val="001307F0"/>
    <w:rPr>
      <w:sz w:val="20"/>
      <w:szCs w:val="20"/>
      <w:lang w:eastAsia="en-US"/>
    </w:rPr>
  </w:style>
  <w:style w:type="character" w:styleId="Refdenotaalpie">
    <w:name w:val="footnote reference"/>
    <w:uiPriority w:val="99"/>
    <w:semiHidden/>
    <w:unhideWhenUsed/>
    <w:rsid w:val="001307F0"/>
    <w:rPr>
      <w:vertAlign w:val="superscript"/>
    </w:rPr>
  </w:style>
  <w:style w:type="paragraph" w:styleId="Sinespaciado">
    <w:name w:val="No Spacing"/>
    <w:uiPriority w:val="1"/>
    <w:qFormat/>
    <w:rsid w:val="001307F0"/>
    <w:rPr>
      <w:lang w:val="es-CL" w:eastAsia="en-US"/>
    </w:rPr>
  </w:style>
  <w:style w:type="paragraph" w:customStyle="1" w:styleId="Default">
    <w:name w:val="Default"/>
    <w:rsid w:val="001307F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gutierrez@ucs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urita.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COMUNIFÉ  N° 13  -  PARA TRADUCIR AL INGLÉS </vt:lpstr>
    </vt:vector>
  </TitlesOfParts>
  <Company>Hewlett-Packard</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COMUNIFÉ  N° 13  -  PARA TRADUCIR AL INGLÉS</dc:title>
  <dc:subject/>
  <dc:creator>Nelly Aliaga</dc:creator>
  <cp:keywords/>
  <dc:description/>
  <cp:lastModifiedBy>factrad</cp:lastModifiedBy>
  <cp:revision>3</cp:revision>
  <dcterms:created xsi:type="dcterms:W3CDTF">2018-05-09T17:03:00Z</dcterms:created>
  <dcterms:modified xsi:type="dcterms:W3CDTF">2018-05-09T17:03:00Z</dcterms:modified>
</cp:coreProperties>
</file>